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92FB" w14:textId="77777777" w:rsidR="0044788F" w:rsidRPr="00C875BD" w:rsidRDefault="0017544B" w:rsidP="002F7766">
      <w:pPr>
        <w:rPr>
          <w:b/>
          <w:bCs/>
        </w:rPr>
      </w:pPr>
      <w:r w:rsidRPr="00A87097">
        <w:rPr>
          <w:rFonts w:eastAsia="Corbel" w:cstheme="minorHAnsi"/>
          <w:b/>
          <w:bCs/>
          <w:noProof/>
          <w:w w:val="99"/>
          <w:sz w:val="40"/>
          <w:szCs w:val="40"/>
        </w:rPr>
        <w:drawing>
          <wp:anchor distT="0" distB="0" distL="114300" distR="114300" simplePos="0" relativeHeight="251659264" behindDoc="0" locked="0" layoutInCell="1" allowOverlap="1" wp14:anchorId="6F0ED643" wp14:editId="273EC1E0">
            <wp:simplePos x="0" y="0"/>
            <wp:positionH relativeFrom="column">
              <wp:posOffset>0</wp:posOffset>
            </wp:positionH>
            <wp:positionV relativeFrom="paragraph">
              <wp:posOffset>0</wp:posOffset>
            </wp:positionV>
            <wp:extent cx="1828800" cy="566028"/>
            <wp:effectExtent l="0" t="0" r="0" b="571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66028"/>
                    </a:xfrm>
                    <a:prstGeom prst="rect">
                      <a:avLst/>
                    </a:prstGeom>
                  </pic:spPr>
                </pic:pic>
              </a:graphicData>
            </a:graphic>
            <wp14:sizeRelH relativeFrom="page">
              <wp14:pctWidth>0</wp14:pctWidth>
            </wp14:sizeRelH>
            <wp14:sizeRelV relativeFrom="page">
              <wp14:pctHeight>0</wp14:pctHeight>
            </wp14:sizeRelV>
          </wp:anchor>
        </w:drawing>
      </w:r>
      <w:r w:rsidR="0044788F" w:rsidRPr="00C875BD">
        <w:rPr>
          <w:b/>
          <w:bCs/>
        </w:rPr>
        <w:t>logo</w:t>
      </w:r>
    </w:p>
    <w:p w14:paraId="15725651" w14:textId="77777777" w:rsidR="0044788F" w:rsidRDefault="0044788F" w:rsidP="002F7766"/>
    <w:p w14:paraId="5E661E91" w14:textId="77777777" w:rsidR="00377ECD" w:rsidRDefault="00377ECD" w:rsidP="005C1F15">
      <w:pPr>
        <w:jc w:val="center"/>
        <w:rPr>
          <w:b/>
          <w:bCs/>
        </w:rPr>
      </w:pPr>
    </w:p>
    <w:p w14:paraId="0EAF82E9" w14:textId="77777777" w:rsidR="005C1F15" w:rsidRPr="00AD114E" w:rsidRDefault="00AD114E" w:rsidP="005C1F15">
      <w:pPr>
        <w:contextualSpacing/>
        <w:jc w:val="center"/>
        <w:rPr>
          <w:b/>
          <w:bCs/>
        </w:rPr>
      </w:pPr>
      <w:r w:rsidRPr="00AD114E">
        <w:rPr>
          <w:b/>
          <w:bCs/>
        </w:rPr>
        <w:t>Business Development Board of Martin County, Inc.</w:t>
      </w:r>
    </w:p>
    <w:p w14:paraId="7E3DDD23" w14:textId="52426A36" w:rsidR="002F7766" w:rsidRDefault="005077ED" w:rsidP="00EF0B04">
      <w:pPr>
        <w:contextualSpacing/>
        <w:jc w:val="center"/>
        <w:rPr>
          <w:b/>
          <w:bCs/>
        </w:rPr>
      </w:pPr>
      <w:r>
        <w:rPr>
          <w:b/>
          <w:bCs/>
        </w:rPr>
        <w:t xml:space="preserve">Fourth </w:t>
      </w:r>
      <w:r w:rsidR="00377ECD">
        <w:rPr>
          <w:b/>
          <w:bCs/>
        </w:rPr>
        <w:t>Quarter</w:t>
      </w:r>
      <w:r w:rsidR="00EF0B04" w:rsidRPr="00EF0B04">
        <w:rPr>
          <w:b/>
          <w:bCs/>
        </w:rPr>
        <w:t xml:space="preserve"> </w:t>
      </w:r>
      <w:r w:rsidR="00EF0B04" w:rsidRPr="00AD114E">
        <w:rPr>
          <w:b/>
          <w:bCs/>
        </w:rPr>
        <w:t>Repor</w:t>
      </w:r>
      <w:r w:rsidR="00EF0B04">
        <w:rPr>
          <w:b/>
          <w:bCs/>
        </w:rPr>
        <w:t>t</w:t>
      </w:r>
      <w:r w:rsidR="00377ECD">
        <w:rPr>
          <w:b/>
          <w:bCs/>
        </w:rPr>
        <w:t xml:space="preserve">: </w:t>
      </w:r>
      <w:r w:rsidR="00377ECD" w:rsidRPr="00AD114E">
        <w:rPr>
          <w:b/>
          <w:bCs/>
        </w:rPr>
        <w:t xml:space="preserve"> </w:t>
      </w:r>
      <w:r w:rsidR="002316DD">
        <w:rPr>
          <w:b/>
          <w:bCs/>
        </w:rPr>
        <w:t>July</w:t>
      </w:r>
      <w:r w:rsidR="005C1F15" w:rsidRPr="00AD114E">
        <w:rPr>
          <w:b/>
          <w:bCs/>
        </w:rPr>
        <w:t xml:space="preserve"> 1, 202</w:t>
      </w:r>
      <w:r w:rsidR="009A2564">
        <w:rPr>
          <w:b/>
          <w:bCs/>
        </w:rPr>
        <w:t>4</w:t>
      </w:r>
      <w:r w:rsidR="005C1F15" w:rsidRPr="00AD114E">
        <w:rPr>
          <w:b/>
          <w:bCs/>
        </w:rPr>
        <w:t xml:space="preserve"> – </w:t>
      </w:r>
      <w:r w:rsidR="002316DD">
        <w:rPr>
          <w:b/>
          <w:bCs/>
        </w:rPr>
        <w:t>September</w:t>
      </w:r>
      <w:r w:rsidR="005C1F15" w:rsidRPr="00AD114E">
        <w:rPr>
          <w:b/>
          <w:bCs/>
        </w:rPr>
        <w:t xml:space="preserve"> 3</w:t>
      </w:r>
      <w:r w:rsidR="00E30201">
        <w:rPr>
          <w:b/>
          <w:bCs/>
        </w:rPr>
        <w:t>0</w:t>
      </w:r>
      <w:r w:rsidR="005C1F15" w:rsidRPr="00AD114E">
        <w:rPr>
          <w:b/>
          <w:bCs/>
        </w:rPr>
        <w:t>, 202</w:t>
      </w:r>
      <w:r w:rsidR="009A2564">
        <w:rPr>
          <w:b/>
          <w:bCs/>
        </w:rPr>
        <w:t>4</w:t>
      </w:r>
    </w:p>
    <w:p w14:paraId="26598645" w14:textId="77777777" w:rsidR="001311D9" w:rsidRDefault="001311D9" w:rsidP="00294550">
      <w:pPr>
        <w:jc w:val="center"/>
        <w:rPr>
          <w:b/>
          <w:bCs/>
        </w:rPr>
      </w:pPr>
    </w:p>
    <w:p w14:paraId="5380D6F6" w14:textId="77777777" w:rsidR="00BF163B" w:rsidRDefault="005C1F15" w:rsidP="00294550">
      <w:pPr>
        <w:jc w:val="center"/>
        <w:rPr>
          <w:b/>
          <w:bCs/>
        </w:rPr>
      </w:pPr>
      <w:r w:rsidRPr="00294550">
        <w:rPr>
          <w:b/>
          <w:bCs/>
        </w:rPr>
        <w:t>EXECUTIVE SUMMARY</w:t>
      </w:r>
    </w:p>
    <w:p w14:paraId="10C389AA" w14:textId="77777777" w:rsidR="00555972" w:rsidRDefault="00555972" w:rsidP="00294550">
      <w:pPr>
        <w:jc w:val="center"/>
        <w:rPr>
          <w:b/>
          <w:bCs/>
        </w:rPr>
      </w:pPr>
    </w:p>
    <w:p w14:paraId="3885009F" w14:textId="77777777" w:rsidR="00957017" w:rsidRPr="00546F0D" w:rsidRDefault="00957017" w:rsidP="00957017">
      <w:pPr>
        <w:rPr>
          <w:i/>
          <w:iCs/>
        </w:rPr>
      </w:pPr>
      <w:r w:rsidRPr="00546F0D">
        <w:rPr>
          <w:i/>
          <w:iCs/>
        </w:rPr>
        <w:t xml:space="preserve">This </w:t>
      </w:r>
      <w:r w:rsidR="009F7F02" w:rsidRPr="00546F0D">
        <w:rPr>
          <w:i/>
          <w:iCs/>
        </w:rPr>
        <w:t xml:space="preserve">is a quarterly report of the Business </w:t>
      </w:r>
      <w:r w:rsidR="00BB5A27" w:rsidRPr="00546F0D">
        <w:rPr>
          <w:i/>
          <w:iCs/>
        </w:rPr>
        <w:t>D</w:t>
      </w:r>
      <w:r w:rsidR="009F7F02" w:rsidRPr="00546F0D">
        <w:rPr>
          <w:i/>
          <w:iCs/>
        </w:rPr>
        <w:t>evelopment Board of Martin County (BDB).</w:t>
      </w:r>
      <w:r w:rsidR="003A1CF7" w:rsidRPr="00546F0D">
        <w:rPr>
          <w:i/>
          <w:iCs/>
        </w:rPr>
        <w:t xml:space="preserve">  </w:t>
      </w:r>
    </w:p>
    <w:p w14:paraId="6175A0A3" w14:textId="77777777" w:rsidR="00957017" w:rsidRDefault="00957017" w:rsidP="00957017">
      <w:pPr>
        <w:rPr>
          <w:b/>
          <w:bCs/>
        </w:rPr>
      </w:pPr>
    </w:p>
    <w:p w14:paraId="78A074FD" w14:textId="77777777" w:rsidR="00A110C6" w:rsidRPr="007047D4" w:rsidRDefault="004A5EE7" w:rsidP="00A110C6">
      <w:pPr>
        <w:rPr>
          <w:b/>
          <w:bCs/>
        </w:rPr>
      </w:pPr>
      <w:r w:rsidRPr="007047D4">
        <w:rPr>
          <w:b/>
          <w:bCs/>
        </w:rPr>
        <w:t>PART ONE</w:t>
      </w:r>
      <w:r w:rsidR="0027312A" w:rsidRPr="007047D4">
        <w:rPr>
          <w:b/>
          <w:bCs/>
        </w:rPr>
        <w:t xml:space="preserve"> </w:t>
      </w:r>
      <w:r w:rsidR="008E4C2B" w:rsidRPr="007047D4">
        <w:rPr>
          <w:b/>
          <w:bCs/>
        </w:rPr>
        <w:t>– KEY ISSUES</w:t>
      </w:r>
      <w:r w:rsidR="00546F0D">
        <w:rPr>
          <w:b/>
          <w:bCs/>
        </w:rPr>
        <w:tab/>
      </w:r>
      <w:r w:rsidR="006C3A21" w:rsidRPr="007047D4">
        <w:rPr>
          <w:b/>
          <w:bCs/>
        </w:rPr>
        <w:tab/>
      </w:r>
      <w:r w:rsidR="006C3A21" w:rsidRPr="007047D4">
        <w:rPr>
          <w:b/>
          <w:bCs/>
        </w:rPr>
        <w:tab/>
      </w:r>
      <w:r w:rsidRPr="007047D4">
        <w:rPr>
          <w:b/>
          <w:bCs/>
        </w:rPr>
        <w:tab/>
      </w:r>
      <w:r w:rsidRPr="007047D4">
        <w:rPr>
          <w:b/>
          <w:bCs/>
        </w:rPr>
        <w:tab/>
      </w:r>
      <w:r w:rsidR="007047D4" w:rsidRPr="007047D4">
        <w:rPr>
          <w:b/>
          <w:bCs/>
        </w:rPr>
        <w:tab/>
      </w:r>
      <w:r w:rsidR="006C3A21" w:rsidRPr="007047D4">
        <w:rPr>
          <w:b/>
          <w:bCs/>
        </w:rPr>
        <w:t xml:space="preserve">See Page </w:t>
      </w:r>
      <w:r w:rsidR="00EF0B04">
        <w:rPr>
          <w:b/>
          <w:bCs/>
        </w:rPr>
        <w:t>2</w:t>
      </w:r>
    </w:p>
    <w:p w14:paraId="3EB4FDB4" w14:textId="77777777" w:rsidR="001A5A5E" w:rsidRDefault="00FB19C3" w:rsidP="00EF0B04">
      <w:pPr>
        <w:pStyle w:val="ListParagraph"/>
        <w:numPr>
          <w:ilvl w:val="0"/>
          <w:numId w:val="24"/>
        </w:numPr>
        <w:spacing w:after="40"/>
        <w:contextualSpacing w:val="0"/>
      </w:pPr>
      <w:r>
        <w:rPr>
          <w:u w:val="single"/>
        </w:rPr>
        <w:t>William T. Corbin, CEcD</w:t>
      </w:r>
      <w:r w:rsidR="00957017">
        <w:rPr>
          <w:u w:val="single"/>
        </w:rPr>
        <w:t>,</w:t>
      </w:r>
      <w:r>
        <w:rPr>
          <w:u w:val="single"/>
        </w:rPr>
        <w:t xml:space="preserve"> appointed as </w:t>
      </w:r>
      <w:r w:rsidR="001A5A5E" w:rsidRPr="00377ECD">
        <w:rPr>
          <w:u w:val="single"/>
        </w:rPr>
        <w:t>Executive Director</w:t>
      </w:r>
      <w:r>
        <w:t xml:space="preserve">.  </w:t>
      </w:r>
      <w:r w:rsidR="00BE5B1E">
        <w:t xml:space="preserve">Mr. Corbin was selected from among ninety-four candidates.  </w:t>
      </w:r>
    </w:p>
    <w:p w14:paraId="4075BC88" w14:textId="77777777" w:rsidR="00FC2DE0" w:rsidRDefault="00FC2DE0" w:rsidP="00EF0B04">
      <w:pPr>
        <w:pStyle w:val="ListParagraph"/>
        <w:numPr>
          <w:ilvl w:val="0"/>
          <w:numId w:val="24"/>
        </w:numPr>
        <w:spacing w:after="40"/>
        <w:contextualSpacing w:val="0"/>
      </w:pPr>
      <w:r>
        <w:rPr>
          <w:u w:val="single"/>
        </w:rPr>
        <w:t xml:space="preserve">Officers appointed for Fiscal Year </w:t>
      </w:r>
      <w:r w:rsidRPr="00FC2DE0">
        <w:rPr>
          <w:u w:val="single"/>
        </w:rPr>
        <w:t>2024-2025</w:t>
      </w:r>
      <w:r>
        <w:t xml:space="preserve">.  Susan Rabinowitz agreed to serve an additional year as President.  Dan Romence is President-elect.  David Rosendahl continues to serve as Secretary, and Lauren Abbott joins the Executive Committee as Treasurer.  Eric Kiehn </w:t>
      </w:r>
      <w:r w:rsidR="003D44FD">
        <w:t>is the</w:t>
      </w:r>
      <w:r>
        <w:t xml:space="preserve"> Past President.  </w:t>
      </w:r>
    </w:p>
    <w:p w14:paraId="7FCE7496" w14:textId="77777777" w:rsidR="008E4C2B" w:rsidRPr="00EF0B04" w:rsidRDefault="008E4C2B" w:rsidP="008E4C2B">
      <w:pPr>
        <w:spacing w:after="60"/>
        <w:rPr>
          <w:sz w:val="10"/>
          <w:szCs w:val="10"/>
        </w:rPr>
      </w:pPr>
    </w:p>
    <w:p w14:paraId="2E5B8DC3" w14:textId="77777777" w:rsidR="00B340DD" w:rsidRPr="007047D4" w:rsidRDefault="00122D4D" w:rsidP="00122D4D">
      <w:pPr>
        <w:rPr>
          <w:b/>
          <w:bCs/>
        </w:rPr>
      </w:pPr>
      <w:r w:rsidRPr="007047D4">
        <w:rPr>
          <w:b/>
          <w:bCs/>
        </w:rPr>
        <w:t xml:space="preserve">PART </w:t>
      </w:r>
      <w:r w:rsidR="004A5EE7" w:rsidRPr="007047D4">
        <w:rPr>
          <w:b/>
          <w:bCs/>
        </w:rPr>
        <w:t>TWO –</w:t>
      </w:r>
      <w:r w:rsidRPr="007047D4">
        <w:rPr>
          <w:b/>
          <w:bCs/>
        </w:rPr>
        <w:t xml:space="preserve"> ACTIVITIES</w:t>
      </w:r>
      <w:r w:rsidR="00546F0D">
        <w:rPr>
          <w:b/>
          <w:bCs/>
        </w:rPr>
        <w:tab/>
      </w:r>
      <w:r w:rsidR="006C3A21" w:rsidRPr="007047D4">
        <w:rPr>
          <w:b/>
          <w:bCs/>
        </w:rPr>
        <w:tab/>
      </w:r>
      <w:r w:rsidR="006C3A21" w:rsidRPr="007047D4">
        <w:rPr>
          <w:b/>
          <w:bCs/>
        </w:rPr>
        <w:tab/>
      </w:r>
      <w:r w:rsidR="008E4C2B" w:rsidRPr="007047D4">
        <w:rPr>
          <w:b/>
          <w:bCs/>
        </w:rPr>
        <w:tab/>
      </w:r>
      <w:r w:rsidR="004A5EE7" w:rsidRPr="007047D4">
        <w:rPr>
          <w:b/>
          <w:bCs/>
        </w:rPr>
        <w:tab/>
      </w:r>
      <w:r w:rsidR="004A5EE7" w:rsidRPr="007047D4">
        <w:rPr>
          <w:b/>
          <w:bCs/>
        </w:rPr>
        <w:tab/>
      </w:r>
      <w:r w:rsidR="006C3A21" w:rsidRPr="007047D4">
        <w:rPr>
          <w:b/>
          <w:bCs/>
        </w:rPr>
        <w:t xml:space="preserve">See Page </w:t>
      </w:r>
      <w:r w:rsidR="00CB7E3F">
        <w:rPr>
          <w:b/>
          <w:bCs/>
        </w:rPr>
        <w:t>3</w:t>
      </w:r>
    </w:p>
    <w:p w14:paraId="095A41A4" w14:textId="77777777" w:rsidR="00C56CB5" w:rsidRDefault="00C56CB5" w:rsidP="00EF0B04">
      <w:pPr>
        <w:pStyle w:val="ListParagraph"/>
        <w:numPr>
          <w:ilvl w:val="0"/>
          <w:numId w:val="24"/>
        </w:numPr>
        <w:spacing w:after="40"/>
        <w:contextualSpacing w:val="0"/>
        <w:rPr>
          <w:u w:val="single"/>
        </w:rPr>
      </w:pPr>
      <w:r w:rsidRPr="00C56CB5">
        <w:rPr>
          <w:u w:val="single"/>
        </w:rPr>
        <w:t>Pulse Program</w:t>
      </w:r>
      <w:r w:rsidRPr="00C56CB5">
        <w:t>.</w:t>
      </w:r>
      <w:r>
        <w:t xml:space="preserve">  </w:t>
      </w:r>
      <w:r w:rsidR="00FC2DE0">
        <w:t>Pulse continues to guide the focus of the BDB.</w:t>
      </w:r>
      <w:r>
        <w:t xml:space="preserve">  </w:t>
      </w:r>
      <w:r w:rsidR="00FC2DE0">
        <w:t>Three retention/expansion projects were identified directly as a result of Pulse visits.</w:t>
      </w:r>
    </w:p>
    <w:p w14:paraId="6694F536" w14:textId="77777777" w:rsidR="00C56CB5" w:rsidRPr="001935FA" w:rsidRDefault="00C56CB5" w:rsidP="00EF0B04">
      <w:pPr>
        <w:pStyle w:val="ListParagraph"/>
        <w:numPr>
          <w:ilvl w:val="0"/>
          <w:numId w:val="24"/>
        </w:numPr>
        <w:spacing w:after="40"/>
        <w:contextualSpacing w:val="0"/>
        <w:rPr>
          <w:u w:val="single"/>
        </w:rPr>
      </w:pPr>
      <w:r w:rsidRPr="00C56CB5">
        <w:rPr>
          <w:u w:val="single"/>
        </w:rPr>
        <w:t>BDB contracted with BusinessFlare</w:t>
      </w:r>
      <w:r>
        <w:t xml:space="preserve"> to supplement its prospect relations efforts.  BusinessFlare is a recognized leader in economic development in Florida with a strong working knowledge of Stuart and Martin County.  </w:t>
      </w:r>
    </w:p>
    <w:p w14:paraId="7B900124" w14:textId="77777777" w:rsidR="008575AE" w:rsidRPr="008575AE" w:rsidRDefault="008575AE" w:rsidP="008575AE">
      <w:pPr>
        <w:pStyle w:val="ListParagraph"/>
        <w:numPr>
          <w:ilvl w:val="0"/>
          <w:numId w:val="24"/>
        </w:numPr>
        <w:spacing w:after="40"/>
        <w:contextualSpacing w:val="0"/>
        <w:rPr>
          <w:u w:val="single"/>
        </w:rPr>
      </w:pPr>
      <w:r w:rsidRPr="008575AE">
        <w:rPr>
          <w:u w:val="single"/>
        </w:rPr>
        <w:t>Project Sailfish</w:t>
      </w:r>
      <w:r w:rsidRPr="008575AE">
        <w:t xml:space="preserve">.  Power Systems Manufacturing (PSM) identified a location in Martin County, </w:t>
      </w:r>
      <w:r>
        <w:t>as its expansion site</w:t>
      </w:r>
      <w:r w:rsidRPr="008575AE">
        <w:t xml:space="preserve">.  PSM made application for a tax abatement credit.  The </w:t>
      </w:r>
      <w:r>
        <w:t>B</w:t>
      </w:r>
      <w:r w:rsidRPr="008575AE">
        <w:t>oard of County Commissioners gave preliminary approval of the proposal on September 10, 2024.  This significantly marks the first time the voter-approved tax abatement program has been effectively utilized.</w:t>
      </w:r>
      <w:r w:rsidRPr="008575AE">
        <w:rPr>
          <w:u w:val="single"/>
        </w:rPr>
        <w:t xml:space="preserve">  </w:t>
      </w:r>
    </w:p>
    <w:p w14:paraId="5E88AAD4" w14:textId="77777777" w:rsidR="008575AE" w:rsidRPr="0060476D" w:rsidRDefault="008575AE" w:rsidP="008575AE">
      <w:pPr>
        <w:pStyle w:val="ListParagraph"/>
        <w:numPr>
          <w:ilvl w:val="0"/>
          <w:numId w:val="24"/>
        </w:numPr>
      </w:pPr>
      <w:r>
        <w:rPr>
          <w:u w:val="single"/>
        </w:rPr>
        <w:t>Activity Reporting</w:t>
      </w:r>
      <w:r w:rsidRPr="007F2CF3">
        <w:t>.</w:t>
      </w:r>
      <w:r>
        <w:t xml:space="preserve">  BusinessFlare has worked with staff to devise an activity reporting system to produce tangible and measurable metrics for the BDB.  </w:t>
      </w:r>
      <w:r w:rsidR="00677DCD">
        <w:t xml:space="preserve">The work is in progress and on-going at this time.  </w:t>
      </w:r>
    </w:p>
    <w:p w14:paraId="3C0E5E75" w14:textId="77777777" w:rsidR="002F7391" w:rsidRDefault="008575AE" w:rsidP="00EF0B04">
      <w:pPr>
        <w:pStyle w:val="ListParagraph"/>
        <w:numPr>
          <w:ilvl w:val="0"/>
          <w:numId w:val="24"/>
        </w:numPr>
        <w:spacing w:after="40"/>
        <w:contextualSpacing w:val="0"/>
      </w:pPr>
      <w:r w:rsidRPr="008575AE">
        <w:rPr>
          <w:u w:val="single"/>
        </w:rPr>
        <w:t>Special Projects.</w:t>
      </w:r>
      <w:r>
        <w:t xml:space="preserve">  </w:t>
      </w:r>
      <w:r w:rsidR="003D44FD">
        <w:t>Six</w:t>
      </w:r>
      <w:r>
        <w:t xml:space="preserve"> of the identified Special Projects were completed in the Summer Quarter at a total cost of $17,360.  </w:t>
      </w:r>
    </w:p>
    <w:p w14:paraId="0E4A875F" w14:textId="77777777" w:rsidR="00A90F5A" w:rsidRPr="008E4C2B" w:rsidRDefault="00A90F5A" w:rsidP="00A90F5A">
      <w:pPr>
        <w:pStyle w:val="ListParagraph"/>
        <w:numPr>
          <w:ilvl w:val="1"/>
          <w:numId w:val="24"/>
        </w:numPr>
        <w:spacing w:after="40"/>
        <w:contextualSpacing w:val="0"/>
      </w:pPr>
      <w:r>
        <w:rPr>
          <w:u w:val="single"/>
        </w:rPr>
        <w:t>Contract Reserve Amount.</w:t>
      </w:r>
      <w:r>
        <w:t xml:space="preserve">  A separate analysis indicates an amount available for projects of $51,084.  Of this amount, $41,000 is committed to previously approved projects.  Therefore, $10,084 is available for additional projects.  </w:t>
      </w:r>
    </w:p>
    <w:p w14:paraId="5C380B52" w14:textId="77777777" w:rsidR="00A63A7D" w:rsidRPr="00EF0B04" w:rsidRDefault="00A63A7D">
      <w:pPr>
        <w:rPr>
          <w:b/>
          <w:bCs/>
          <w:sz w:val="10"/>
          <w:szCs w:val="10"/>
        </w:rPr>
      </w:pPr>
    </w:p>
    <w:p w14:paraId="6D173163" w14:textId="77777777" w:rsidR="00BB79EC" w:rsidRPr="007047D4" w:rsidRDefault="00BB79EC" w:rsidP="00BB79EC">
      <w:pPr>
        <w:rPr>
          <w:b/>
          <w:bCs/>
        </w:rPr>
      </w:pPr>
      <w:r w:rsidRPr="007047D4">
        <w:rPr>
          <w:b/>
          <w:bCs/>
        </w:rPr>
        <w:t xml:space="preserve">PART </w:t>
      </w:r>
      <w:r w:rsidR="004A5EE7" w:rsidRPr="007047D4">
        <w:rPr>
          <w:b/>
          <w:bCs/>
        </w:rPr>
        <w:t>THREE</w:t>
      </w:r>
      <w:r w:rsidRPr="007047D4">
        <w:rPr>
          <w:b/>
          <w:bCs/>
        </w:rPr>
        <w:t xml:space="preserve"> </w:t>
      </w:r>
      <w:r w:rsidR="004A5EE7" w:rsidRPr="007047D4">
        <w:rPr>
          <w:b/>
          <w:bCs/>
        </w:rPr>
        <w:t xml:space="preserve">– </w:t>
      </w:r>
      <w:r w:rsidRPr="007047D4">
        <w:rPr>
          <w:b/>
          <w:bCs/>
        </w:rPr>
        <w:t>FINANCIAL</w:t>
      </w:r>
      <w:r w:rsidR="00546F0D">
        <w:rPr>
          <w:b/>
          <w:bCs/>
        </w:rPr>
        <w:tab/>
      </w:r>
      <w:r w:rsidRPr="007047D4">
        <w:rPr>
          <w:b/>
          <w:bCs/>
        </w:rPr>
        <w:tab/>
      </w:r>
      <w:r w:rsidRPr="007047D4">
        <w:rPr>
          <w:b/>
          <w:bCs/>
        </w:rPr>
        <w:tab/>
      </w:r>
      <w:r w:rsidR="008E4C2B" w:rsidRPr="007047D4">
        <w:rPr>
          <w:b/>
          <w:bCs/>
        </w:rPr>
        <w:tab/>
      </w:r>
      <w:r w:rsidR="004A5EE7" w:rsidRPr="007047D4">
        <w:rPr>
          <w:b/>
          <w:bCs/>
        </w:rPr>
        <w:tab/>
      </w:r>
      <w:r w:rsidR="004A5EE7" w:rsidRPr="007047D4">
        <w:rPr>
          <w:b/>
          <w:bCs/>
        </w:rPr>
        <w:tab/>
      </w:r>
      <w:r w:rsidRPr="007047D4">
        <w:rPr>
          <w:b/>
          <w:bCs/>
        </w:rPr>
        <w:t xml:space="preserve">See Page </w:t>
      </w:r>
      <w:r w:rsidR="00CB7E3F">
        <w:rPr>
          <w:b/>
          <w:bCs/>
        </w:rPr>
        <w:t>6</w:t>
      </w:r>
    </w:p>
    <w:p w14:paraId="2DCE92AF" w14:textId="77777777" w:rsidR="00C56CB5" w:rsidRPr="00C56CB5" w:rsidRDefault="00BB79EC" w:rsidP="00C56CB5">
      <w:pPr>
        <w:pStyle w:val="ListParagraph"/>
        <w:numPr>
          <w:ilvl w:val="0"/>
          <w:numId w:val="24"/>
        </w:numPr>
        <w:rPr>
          <w:u w:val="single"/>
        </w:rPr>
      </w:pPr>
      <w:r w:rsidRPr="00377ECD">
        <w:rPr>
          <w:u w:val="single"/>
        </w:rPr>
        <w:t>Financial</w:t>
      </w:r>
      <w:r w:rsidRPr="00C56CB5">
        <w:rPr>
          <w:u w:val="single"/>
        </w:rPr>
        <w:t xml:space="preserve"> </w:t>
      </w:r>
      <w:r w:rsidR="00E20690" w:rsidRPr="00C56CB5">
        <w:rPr>
          <w:u w:val="single"/>
        </w:rPr>
        <w:t>report</w:t>
      </w:r>
      <w:r w:rsidR="00E20690">
        <w:t xml:space="preserve"> format</w:t>
      </w:r>
      <w:r w:rsidR="00E041EC">
        <w:t>s are streamlined for clarity and simplicity</w:t>
      </w:r>
      <w:r w:rsidR="00E20690">
        <w:t>.</w:t>
      </w:r>
    </w:p>
    <w:p w14:paraId="68DE16D1" w14:textId="77777777" w:rsidR="00BB79EC" w:rsidRPr="006D348A" w:rsidRDefault="00BB79EC" w:rsidP="00C56CB5">
      <w:pPr>
        <w:pStyle w:val="ListParagraph"/>
        <w:numPr>
          <w:ilvl w:val="0"/>
          <w:numId w:val="24"/>
        </w:numPr>
        <w:rPr>
          <w:u w:val="single"/>
        </w:rPr>
      </w:pPr>
      <w:r w:rsidRPr="00C56CB5">
        <w:rPr>
          <w:u w:val="single"/>
        </w:rPr>
        <w:t>Actual cash balance</w:t>
      </w:r>
      <w:r>
        <w:t xml:space="preserve"> at end of the quarter is </w:t>
      </w:r>
      <w:r w:rsidR="00D12238" w:rsidRPr="002A1CED">
        <w:t>$3</w:t>
      </w:r>
      <w:r w:rsidR="00D12238">
        <w:t>01,153</w:t>
      </w:r>
      <w:r w:rsidR="00D12238" w:rsidRPr="002A1CED">
        <w:t>.</w:t>
      </w:r>
    </w:p>
    <w:p w14:paraId="2B1E4890" w14:textId="77777777" w:rsidR="0084342D" w:rsidRPr="0084342D" w:rsidRDefault="006D348A" w:rsidP="00EF0B04">
      <w:pPr>
        <w:pStyle w:val="ListParagraph"/>
        <w:numPr>
          <w:ilvl w:val="0"/>
          <w:numId w:val="24"/>
        </w:numPr>
        <w:rPr>
          <w:u w:val="single"/>
        </w:rPr>
      </w:pPr>
      <w:r w:rsidRPr="006D348A">
        <w:rPr>
          <w:u w:val="single"/>
        </w:rPr>
        <w:t xml:space="preserve">Net income </w:t>
      </w:r>
      <w:r w:rsidRPr="006D348A">
        <w:t xml:space="preserve">for the quarter is </w:t>
      </w:r>
      <w:r w:rsidR="00D12238">
        <w:t>($15,440)</w:t>
      </w:r>
      <w:r w:rsidRPr="006D348A">
        <w:t>.</w:t>
      </w:r>
    </w:p>
    <w:p w14:paraId="43D280B9" w14:textId="77777777" w:rsidR="0084342D" w:rsidRDefault="0084342D" w:rsidP="0084342D">
      <w:pPr>
        <w:rPr>
          <w:u w:val="single"/>
        </w:rPr>
      </w:pPr>
    </w:p>
    <w:p w14:paraId="7DA10CD3" w14:textId="77777777" w:rsidR="0084342D" w:rsidRDefault="0084342D" w:rsidP="0084342D">
      <w:pPr>
        <w:rPr>
          <w:u w:val="single"/>
        </w:rPr>
      </w:pPr>
    </w:p>
    <w:p w14:paraId="2675EFC4" w14:textId="77777777" w:rsidR="0084342D" w:rsidRPr="0084342D" w:rsidRDefault="0084342D" w:rsidP="0084342D">
      <w:pPr>
        <w:rPr>
          <w:u w:val="single"/>
        </w:rPr>
      </w:pPr>
    </w:p>
    <w:p w14:paraId="157C0873" w14:textId="77777777" w:rsidR="00845497" w:rsidRPr="00EF0B04" w:rsidRDefault="00845497" w:rsidP="00EF0B04">
      <w:pPr>
        <w:pStyle w:val="ListParagraph"/>
        <w:numPr>
          <w:ilvl w:val="0"/>
          <w:numId w:val="24"/>
        </w:numPr>
        <w:rPr>
          <w:u w:val="single"/>
        </w:rPr>
      </w:pPr>
      <w:r w:rsidRPr="00EF0B04">
        <w:rPr>
          <w:b/>
          <w:bCs/>
        </w:rPr>
        <w:br w:type="page"/>
      </w:r>
    </w:p>
    <w:p w14:paraId="525CD9E0" w14:textId="77777777" w:rsidR="00A110C6" w:rsidRDefault="00663547" w:rsidP="001768EE">
      <w:pPr>
        <w:jc w:val="center"/>
        <w:rPr>
          <w:b/>
          <w:bCs/>
        </w:rPr>
      </w:pPr>
      <w:r>
        <w:rPr>
          <w:b/>
          <w:bCs/>
        </w:rPr>
        <w:lastRenderedPageBreak/>
        <w:t>PART ONE</w:t>
      </w:r>
      <w:r w:rsidR="000B7409">
        <w:rPr>
          <w:b/>
          <w:bCs/>
        </w:rPr>
        <w:t xml:space="preserve"> – KEY ISSUES</w:t>
      </w:r>
    </w:p>
    <w:p w14:paraId="4F1F45C2" w14:textId="77777777" w:rsidR="001768EE" w:rsidRDefault="001768EE" w:rsidP="001768EE">
      <w:pPr>
        <w:jc w:val="center"/>
        <w:rPr>
          <w:b/>
          <w:bCs/>
        </w:rPr>
      </w:pPr>
    </w:p>
    <w:p w14:paraId="7DC40614" w14:textId="77777777" w:rsidR="005920B2" w:rsidRDefault="00957017" w:rsidP="00B23F29">
      <w:pPr>
        <w:spacing w:after="120"/>
      </w:pPr>
      <w:r w:rsidRPr="00957017">
        <w:rPr>
          <w:b/>
          <w:bCs/>
        </w:rPr>
        <w:t xml:space="preserve">William T. Corbin, CEcD, </w:t>
      </w:r>
      <w:r w:rsidR="00005A64">
        <w:rPr>
          <w:b/>
          <w:bCs/>
        </w:rPr>
        <w:t>A</w:t>
      </w:r>
      <w:r w:rsidRPr="00957017">
        <w:rPr>
          <w:b/>
          <w:bCs/>
        </w:rPr>
        <w:t>ppointed as Executive Director</w:t>
      </w:r>
      <w:r w:rsidR="000C7369" w:rsidRPr="00957017">
        <w:t xml:space="preserve">.  </w:t>
      </w:r>
      <w:r>
        <w:t>A</w:t>
      </w:r>
      <w:r w:rsidR="00BB6932" w:rsidRPr="00957017">
        <w:t xml:space="preserve"> Search Committee consist</w:t>
      </w:r>
      <w:r>
        <w:t>ing</w:t>
      </w:r>
      <w:r w:rsidR="00BB6932" w:rsidRPr="00957017">
        <w:t xml:space="preserve"> of three</w:t>
      </w:r>
      <w:r w:rsidR="00BB6932">
        <w:t xml:space="preserve"> Board Members and </w:t>
      </w:r>
      <w:r w:rsidR="00AE291B">
        <w:t>three</w:t>
      </w:r>
      <w:r w:rsidR="00BB6932">
        <w:t xml:space="preserve"> Volunteers</w:t>
      </w:r>
      <w:r>
        <w:t xml:space="preserve"> was named and </w:t>
      </w:r>
      <w:r w:rsidR="003B70BB">
        <w:t xml:space="preserve">began its work in </w:t>
      </w:r>
      <w:r w:rsidR="00D64504">
        <w:t>April</w:t>
      </w:r>
      <w:r w:rsidR="003B70BB">
        <w:t>.  The updated position description was advertised on May 15</w:t>
      </w:r>
      <w:r w:rsidR="003B70BB" w:rsidRPr="007F6FCD">
        <w:rPr>
          <w:vertAlign w:val="superscript"/>
        </w:rPr>
        <w:t>th</w:t>
      </w:r>
      <w:r w:rsidR="003B70BB">
        <w:t>, with a closing date of June 15</w:t>
      </w:r>
      <w:r w:rsidR="003B70BB" w:rsidRPr="007F6FCD">
        <w:rPr>
          <w:vertAlign w:val="superscript"/>
        </w:rPr>
        <w:t>th</w:t>
      </w:r>
      <w:r w:rsidR="003B70BB">
        <w:t>.  Ninety-four (94) resumes were received.  An initial review brought the number of credentialled candidates to twenty-five (25).  The committee is continu</w:t>
      </w:r>
      <w:r>
        <w:t>ed</w:t>
      </w:r>
      <w:r w:rsidR="003B70BB">
        <w:t xml:space="preserve"> its work in July</w:t>
      </w:r>
      <w:r>
        <w:t>, resulting in</w:t>
      </w:r>
      <w:r w:rsidR="003B70BB">
        <w:t xml:space="preserve"> </w:t>
      </w:r>
      <w:r>
        <w:t>f</w:t>
      </w:r>
      <w:r w:rsidR="003B70BB">
        <w:t>ormal interviews</w:t>
      </w:r>
      <w:r>
        <w:t xml:space="preserve"> of three candidates</w:t>
      </w:r>
      <w:r w:rsidR="003B70BB">
        <w:t xml:space="preserve"> with the Board of Directors on August 2</w:t>
      </w:r>
      <w:r w:rsidR="003B70BB" w:rsidRPr="003B70BB">
        <w:rPr>
          <w:vertAlign w:val="superscript"/>
        </w:rPr>
        <w:t>nd</w:t>
      </w:r>
      <w:r>
        <w:t xml:space="preserve">.  Mr. Corbin was appointed unanimously and </w:t>
      </w:r>
      <w:r w:rsidR="00BE5B1E">
        <w:t>assumed</w:t>
      </w:r>
      <w:r>
        <w:t xml:space="preserve"> </w:t>
      </w:r>
      <w:r w:rsidR="00BE5B1E">
        <w:t>the duties</w:t>
      </w:r>
      <w:r>
        <w:t xml:space="preserve"> </w:t>
      </w:r>
      <w:r w:rsidR="00BE5B1E">
        <w:t xml:space="preserve">of Executive Director on </w:t>
      </w:r>
      <w:r>
        <w:t xml:space="preserve">September 16, 2024.  </w:t>
      </w:r>
      <w:r w:rsidR="00BE5B1E">
        <w:t xml:space="preserve">Mr. Corbin </w:t>
      </w:r>
      <w:r w:rsidR="00240EC3">
        <w:t xml:space="preserve">holds a bachelor degree in Political Science from Emory University and a Master of Public Administration from Georgia State University.  He has extensive economic development experience, and is Certified Economic Developer.  </w:t>
      </w:r>
    </w:p>
    <w:p w14:paraId="642A2EF7" w14:textId="77777777" w:rsidR="00157EC7" w:rsidRDefault="00157EC7" w:rsidP="00157EC7">
      <w:pPr>
        <w:spacing w:after="120"/>
      </w:pPr>
      <w:r w:rsidRPr="00240EC3">
        <w:rPr>
          <w:b/>
          <w:bCs/>
        </w:rPr>
        <w:t xml:space="preserve">Board of Directors </w:t>
      </w:r>
      <w:r>
        <w:rPr>
          <w:b/>
          <w:bCs/>
        </w:rPr>
        <w:t xml:space="preserve">(BOD) </w:t>
      </w:r>
      <w:r w:rsidR="00005A64">
        <w:rPr>
          <w:b/>
          <w:bCs/>
        </w:rPr>
        <w:t>R</w:t>
      </w:r>
      <w:r w:rsidRPr="00240EC3">
        <w:rPr>
          <w:b/>
          <w:bCs/>
        </w:rPr>
        <w:t xml:space="preserve">enew their </w:t>
      </w:r>
      <w:r w:rsidR="00005A64">
        <w:rPr>
          <w:b/>
          <w:bCs/>
        </w:rPr>
        <w:t>T</w:t>
      </w:r>
      <w:r w:rsidRPr="00240EC3">
        <w:rPr>
          <w:b/>
          <w:bCs/>
        </w:rPr>
        <w:t>erms</w:t>
      </w:r>
      <w:r>
        <w:t xml:space="preserve">.  </w:t>
      </w:r>
      <w:r w:rsidR="00005A64">
        <w:t>Board members collectively</w:t>
      </w:r>
      <w:r>
        <w:t xml:space="preserve"> wanted to </w:t>
      </w:r>
      <w:r w:rsidR="00005A64">
        <w:t>demonstrate continuity</w:t>
      </w:r>
      <w:r>
        <w:t xml:space="preserve"> during the transition for the new Executive Director.  Therefore, all of the current at-large members with expiring terms agreed to reappointment.  Similarly, members appointed by the BDB’s various agency partners agreed to reappointment.  The BOD also welcomed newly elected Stuart City Commissioner Sean Reed into membership.  </w:t>
      </w:r>
    </w:p>
    <w:p w14:paraId="4158A3C1" w14:textId="77777777" w:rsidR="00157EC7" w:rsidRDefault="00157EC7" w:rsidP="00157EC7">
      <w:pPr>
        <w:spacing w:after="120"/>
      </w:pPr>
      <w:r w:rsidRPr="00157EC7">
        <w:rPr>
          <w:b/>
          <w:bCs/>
        </w:rPr>
        <w:t xml:space="preserve">Officers elected </w:t>
      </w:r>
      <w:r w:rsidR="00CB7E3F">
        <w:rPr>
          <w:b/>
          <w:bCs/>
        </w:rPr>
        <w:t>for</w:t>
      </w:r>
      <w:r w:rsidRPr="00157EC7">
        <w:rPr>
          <w:b/>
          <w:bCs/>
        </w:rPr>
        <w:t xml:space="preserve"> Fiscal Year 2025</w:t>
      </w:r>
      <w:r>
        <w:t xml:space="preserve">.  In keeping with this spirit of continuity, Susan Rabinowitz agreed to serve an additional year as President.  Dan Romence is the new President-elect.  David Rosendahl continues to serve as Secretary, and Lauren Abbott joins the Executive Committee as Treasurer.  Eric Kiehn continues as Past President.  </w:t>
      </w:r>
    </w:p>
    <w:p w14:paraId="008EFDC8" w14:textId="77777777" w:rsidR="00AE291B" w:rsidRDefault="00957017" w:rsidP="00B23F29">
      <w:pPr>
        <w:spacing w:after="120"/>
      </w:pPr>
      <w:r>
        <w:rPr>
          <w:b/>
          <w:bCs/>
        </w:rPr>
        <w:t>Board of County Commissioners</w:t>
      </w:r>
      <w:r w:rsidR="0060476D">
        <w:rPr>
          <w:b/>
          <w:bCs/>
        </w:rPr>
        <w:t xml:space="preserve"> presentation</w:t>
      </w:r>
      <w:r w:rsidR="003B70BB" w:rsidRPr="003B70BB">
        <w:rPr>
          <w:b/>
          <w:bCs/>
        </w:rPr>
        <w:t>.</w:t>
      </w:r>
      <w:r w:rsidR="003B70BB">
        <w:t xml:space="preserve">  </w:t>
      </w:r>
      <w:r>
        <w:t>Two</w:t>
      </w:r>
      <w:r w:rsidR="003B70BB">
        <w:t xml:space="preserve"> reports were submitted to the Board of County Commissioners (BCC) in June.  Although neither report contained actionable items, the BCC </w:t>
      </w:r>
      <w:r>
        <w:t>requested</w:t>
      </w:r>
      <w:r w:rsidR="003B70BB">
        <w:t xml:space="preserve"> to discuss BDB operations generally.  The BDB is planning a formal presentation to the BCC during the </w:t>
      </w:r>
      <w:r>
        <w:t>fall</w:t>
      </w:r>
      <w:r w:rsidR="003B70BB">
        <w:t xml:space="preserve">.  </w:t>
      </w:r>
    </w:p>
    <w:p w14:paraId="08AA8CE5" w14:textId="77777777" w:rsidR="00E87EA3" w:rsidRPr="00B23F29" w:rsidRDefault="00E87EA3" w:rsidP="00B23F29">
      <w:pPr>
        <w:spacing w:after="120"/>
      </w:pPr>
    </w:p>
    <w:p w14:paraId="11EBD941" w14:textId="77777777" w:rsidR="00CE78CE" w:rsidRDefault="00CE78CE">
      <w:pPr>
        <w:rPr>
          <w:b/>
          <w:bCs/>
        </w:rPr>
      </w:pPr>
    </w:p>
    <w:p w14:paraId="1FFA4A1A" w14:textId="77777777" w:rsidR="00CB7E3F" w:rsidRDefault="00CB7E3F">
      <w:pPr>
        <w:rPr>
          <w:b/>
          <w:bCs/>
        </w:rPr>
      </w:pPr>
      <w:r>
        <w:rPr>
          <w:b/>
          <w:bCs/>
        </w:rPr>
        <w:br w:type="page"/>
      </w:r>
    </w:p>
    <w:p w14:paraId="5FF97B1B" w14:textId="77777777" w:rsidR="00B92EAF" w:rsidRPr="00A746BB" w:rsidRDefault="00B92EAF" w:rsidP="00B92EAF">
      <w:pPr>
        <w:jc w:val="center"/>
        <w:rPr>
          <w:b/>
          <w:bCs/>
        </w:rPr>
      </w:pPr>
      <w:r w:rsidRPr="00A746BB">
        <w:rPr>
          <w:b/>
          <w:bCs/>
        </w:rPr>
        <w:lastRenderedPageBreak/>
        <w:t xml:space="preserve">PART </w:t>
      </w:r>
      <w:r w:rsidR="00663547">
        <w:rPr>
          <w:b/>
          <w:bCs/>
        </w:rPr>
        <w:t>TWO</w:t>
      </w:r>
      <w:r w:rsidRPr="00A746BB">
        <w:rPr>
          <w:b/>
          <w:bCs/>
        </w:rPr>
        <w:t xml:space="preserve"> ACTIVITY REPORT</w:t>
      </w:r>
      <w:r>
        <w:rPr>
          <w:b/>
          <w:bCs/>
        </w:rPr>
        <w:t>S</w:t>
      </w:r>
    </w:p>
    <w:p w14:paraId="00F4B116" w14:textId="77777777" w:rsidR="00B92EAF" w:rsidRDefault="00B92EAF" w:rsidP="00B92EAF"/>
    <w:p w14:paraId="463A54EF" w14:textId="77777777" w:rsidR="00157EC7" w:rsidRDefault="00157EC7" w:rsidP="00B92EAF">
      <w:pPr>
        <w:rPr>
          <w:b/>
          <w:bCs/>
        </w:rPr>
      </w:pPr>
      <w:r>
        <w:rPr>
          <w:b/>
          <w:bCs/>
        </w:rPr>
        <w:t>PULSE PROGRAM</w:t>
      </w:r>
    </w:p>
    <w:p w14:paraId="46D93AA7" w14:textId="77777777" w:rsidR="00157EC7" w:rsidRPr="000730E3" w:rsidRDefault="00157EC7" w:rsidP="00B92EAF">
      <w:pPr>
        <w:rPr>
          <w:b/>
          <w:bCs/>
          <w:sz w:val="10"/>
          <w:szCs w:val="10"/>
        </w:rPr>
      </w:pPr>
    </w:p>
    <w:p w14:paraId="16ABF834" w14:textId="77777777" w:rsidR="00664776" w:rsidRDefault="00157EC7" w:rsidP="00B92EAF">
      <w:r>
        <w:rPr>
          <w:b/>
          <w:bCs/>
        </w:rPr>
        <w:t>Quality Results</w:t>
      </w:r>
      <w:r w:rsidRPr="00157EC7">
        <w:t xml:space="preserve">.  The Pulse </w:t>
      </w:r>
      <w:r>
        <w:t xml:space="preserve">Program </w:t>
      </w:r>
      <w:r w:rsidR="000730E3">
        <w:t xml:space="preserve">– interviewing C-suite executives regarding the business climate – continues to be the driving force in guiding BDB activities.  Reports through September are still being compiled, but as of August, nearly forty-seven visits had taken place.  These in turn yielded 189 follow-up actions, of which 117 have been completed.  </w:t>
      </w:r>
    </w:p>
    <w:p w14:paraId="5E5DAD11" w14:textId="77777777" w:rsidR="00664776" w:rsidRPr="00005A64" w:rsidRDefault="00664776" w:rsidP="00B92EAF">
      <w:pPr>
        <w:rPr>
          <w:sz w:val="10"/>
          <w:szCs w:val="10"/>
        </w:rPr>
      </w:pPr>
    </w:p>
    <w:p w14:paraId="4AC55EA2" w14:textId="77777777" w:rsidR="00157EC7" w:rsidRDefault="00664776" w:rsidP="00B92EAF">
      <w:r w:rsidRPr="00664776">
        <w:rPr>
          <w:b/>
          <w:bCs/>
        </w:rPr>
        <w:t>Emerging Projects.</w:t>
      </w:r>
      <w:r>
        <w:t xml:space="preserve">  </w:t>
      </w:r>
      <w:r w:rsidR="00677DCD">
        <w:t>Importantly</w:t>
      </w:r>
      <w:r w:rsidR="000730E3">
        <w:t>, three retention</w:t>
      </w:r>
      <w:r>
        <w:t xml:space="preserve"> </w:t>
      </w:r>
      <w:r w:rsidR="00677DCD">
        <w:t>or</w:t>
      </w:r>
      <w:r w:rsidR="000730E3">
        <w:t xml:space="preserve"> expansion projects have emerged directly as a result of Pulse visits.  </w:t>
      </w:r>
    </w:p>
    <w:p w14:paraId="10CC578D" w14:textId="77777777" w:rsidR="000730E3" w:rsidRPr="00005A64" w:rsidRDefault="000730E3" w:rsidP="00B92EAF">
      <w:pPr>
        <w:rPr>
          <w:sz w:val="10"/>
          <w:szCs w:val="10"/>
        </w:rPr>
      </w:pPr>
    </w:p>
    <w:p w14:paraId="0A4788E1" w14:textId="77777777" w:rsidR="000730E3" w:rsidRDefault="00664776" w:rsidP="00B92EAF">
      <w:r>
        <w:rPr>
          <w:b/>
          <w:bCs/>
        </w:rPr>
        <w:t>C</w:t>
      </w:r>
      <w:r w:rsidRPr="00664776">
        <w:rPr>
          <w:b/>
          <w:bCs/>
        </w:rPr>
        <w:t xml:space="preserve">ontributory </w:t>
      </w:r>
      <w:r>
        <w:rPr>
          <w:b/>
          <w:bCs/>
        </w:rPr>
        <w:t>B</w:t>
      </w:r>
      <w:r w:rsidRPr="00664776">
        <w:rPr>
          <w:b/>
          <w:bCs/>
        </w:rPr>
        <w:t>usiness.</w:t>
      </w:r>
      <w:r>
        <w:t xml:space="preserve">  </w:t>
      </w:r>
      <w:r w:rsidR="000730E3">
        <w:t xml:space="preserve">The Pulse Program is focusing on contributory businesses – those which bring money into the local economy – as the main targets for interviews.  Over 400 businesses are identified in this category, and the </w:t>
      </w:r>
      <w:r>
        <w:t xml:space="preserve">list is growing.  </w:t>
      </w:r>
    </w:p>
    <w:p w14:paraId="755ACC3E" w14:textId="77777777" w:rsidR="008C3C4B" w:rsidRPr="00005A64" w:rsidRDefault="008C3C4B" w:rsidP="00B92EAF">
      <w:pPr>
        <w:rPr>
          <w:sz w:val="10"/>
          <w:szCs w:val="10"/>
        </w:rPr>
      </w:pPr>
    </w:p>
    <w:p w14:paraId="375A62AE" w14:textId="77777777" w:rsidR="008C3C4B" w:rsidRPr="00157EC7" w:rsidRDefault="008C3C4B" w:rsidP="00B92EAF">
      <w:r w:rsidRPr="008C3C4B">
        <w:rPr>
          <w:b/>
          <w:bCs/>
        </w:rPr>
        <w:t>Guiding the Focus</w:t>
      </w:r>
      <w:r>
        <w:t xml:space="preserve">.  One of the striking things learned from Pulse visits is that business operators are often unaware of resources available to them.  The BDB is then able to tailor specific programs and events to that need.  Two events described on the following pages (Connex workshop and Access to Capital workshop) were a direct result of Pulse visits.  </w:t>
      </w:r>
    </w:p>
    <w:p w14:paraId="2188864E" w14:textId="77777777" w:rsidR="00157EC7" w:rsidRPr="00157EC7" w:rsidRDefault="00157EC7" w:rsidP="00B92EAF"/>
    <w:p w14:paraId="0D9510B1" w14:textId="77777777" w:rsidR="00207A7D" w:rsidRDefault="00207A7D" w:rsidP="00B92EAF">
      <w:pPr>
        <w:rPr>
          <w:b/>
          <w:bCs/>
        </w:rPr>
      </w:pPr>
      <w:r>
        <w:rPr>
          <w:b/>
          <w:bCs/>
        </w:rPr>
        <w:t>BUSINESS DEVELOPMENT</w:t>
      </w:r>
      <w:r w:rsidRPr="00207A7D">
        <w:rPr>
          <w:b/>
          <w:bCs/>
        </w:rPr>
        <w:t xml:space="preserve"> ACTIVITIES</w:t>
      </w:r>
    </w:p>
    <w:p w14:paraId="2AAE0C2D" w14:textId="77777777" w:rsidR="00E16879" w:rsidRPr="001935FA" w:rsidRDefault="00E16879" w:rsidP="00B92EAF">
      <w:pPr>
        <w:rPr>
          <w:b/>
          <w:bCs/>
          <w:sz w:val="10"/>
          <w:szCs w:val="10"/>
        </w:rPr>
      </w:pPr>
    </w:p>
    <w:p w14:paraId="7215E4D3" w14:textId="77777777" w:rsidR="00555972" w:rsidRDefault="00BA2A60" w:rsidP="00555972">
      <w:r>
        <w:rPr>
          <w:b/>
          <w:bCs/>
        </w:rPr>
        <w:t xml:space="preserve">Business </w:t>
      </w:r>
      <w:r w:rsidR="0043136B">
        <w:rPr>
          <w:b/>
          <w:bCs/>
        </w:rPr>
        <w:t>Attraction</w:t>
      </w:r>
      <w:r>
        <w:rPr>
          <w:b/>
          <w:bCs/>
        </w:rPr>
        <w:t>, Retention</w:t>
      </w:r>
      <w:r w:rsidR="00274DD8">
        <w:rPr>
          <w:b/>
          <w:bCs/>
        </w:rPr>
        <w:t>,</w:t>
      </w:r>
      <w:r>
        <w:rPr>
          <w:b/>
          <w:bCs/>
        </w:rPr>
        <w:t xml:space="preserve"> and Expansion. </w:t>
      </w:r>
      <w:r>
        <w:t>Prospect r</w:t>
      </w:r>
      <w:r w:rsidR="00555972" w:rsidRPr="00BA2A60">
        <w:t>elations</w:t>
      </w:r>
      <w:r w:rsidR="00555972">
        <w:t xml:space="preserve"> are a core service of the BDB, and includes relationship building through direct outreach and marketing with owners, investors, site selectors, partners, and others.  A few highlights of the quarter activities include:  </w:t>
      </w:r>
    </w:p>
    <w:p w14:paraId="4CF8619F" w14:textId="77777777" w:rsidR="0043136B" w:rsidRPr="00FE7D94" w:rsidRDefault="0043136B" w:rsidP="0043136B">
      <w:pPr>
        <w:pStyle w:val="ListParagraph"/>
        <w:numPr>
          <w:ilvl w:val="0"/>
          <w:numId w:val="30"/>
        </w:numPr>
      </w:pPr>
      <w:r w:rsidRPr="00FE7D94">
        <w:rPr>
          <w:u w:val="single"/>
        </w:rPr>
        <w:t>Project Sailfish</w:t>
      </w:r>
      <w:r w:rsidRPr="0060476D">
        <w:t xml:space="preserve">.  </w:t>
      </w:r>
      <w:r w:rsidRPr="00FE7D94">
        <w:t xml:space="preserve">Power Systems Manufacturing </w:t>
      </w:r>
      <w:r>
        <w:t>(PSM) builds</w:t>
      </w:r>
      <w:r w:rsidRPr="00FE7D94">
        <w:t xml:space="preserve"> and services gas turbines and are expanding and identified a location in Martin County, located at </w:t>
      </w:r>
      <w:r>
        <w:t>the South Florida Gateway commercial center</w:t>
      </w:r>
      <w:r w:rsidRPr="00FE7D94">
        <w:t xml:space="preserve">. </w:t>
      </w:r>
      <w:r>
        <w:t xml:space="preserve"> PSM made initial application for a tax abatement credit.  An extensive cooperative effort between PSM, BDB, BusinessFlare, County Administration, County Attorney, and the County Property Appraiser ensued.  The Board of County Commissioners gave preliminary approval of the proposal on September 10, 2024.  This significantly marks the first time the voter-approved tax abatement program has been effectively utilized.  </w:t>
      </w:r>
    </w:p>
    <w:p w14:paraId="6FC5EB0C" w14:textId="77777777" w:rsidR="005540C0" w:rsidRDefault="00FE7D94" w:rsidP="005540C0">
      <w:pPr>
        <w:pStyle w:val="ListParagraph"/>
        <w:numPr>
          <w:ilvl w:val="0"/>
          <w:numId w:val="30"/>
        </w:numPr>
      </w:pPr>
      <w:r w:rsidRPr="00FE7D94">
        <w:rPr>
          <w:u w:val="single"/>
        </w:rPr>
        <w:t>BusinessFlare</w:t>
      </w:r>
      <w:r>
        <w:t xml:space="preserve">.  </w:t>
      </w:r>
      <w:r w:rsidR="005540C0">
        <w:t xml:space="preserve">BDB </w:t>
      </w:r>
      <w:r w:rsidR="0060476D">
        <w:t>continued its relationship</w:t>
      </w:r>
      <w:r w:rsidR="005540C0">
        <w:t xml:space="preserve"> with BusinessFlare to supplement its </w:t>
      </w:r>
      <w:r w:rsidR="0098342A">
        <w:t>BRE</w:t>
      </w:r>
      <w:r w:rsidR="005540C0">
        <w:t xml:space="preserve"> efforts</w:t>
      </w:r>
      <w:r w:rsidR="00EE78CA">
        <w:t xml:space="preserve"> </w:t>
      </w:r>
      <w:r w:rsidR="0060476D">
        <w:t>due to</w:t>
      </w:r>
      <w:r w:rsidR="00EE78CA">
        <w:t xml:space="preserve"> staff vacancies</w:t>
      </w:r>
      <w:r w:rsidR="005540C0">
        <w:t xml:space="preserve">.  </w:t>
      </w:r>
    </w:p>
    <w:p w14:paraId="16D726D8" w14:textId="77777777" w:rsidR="005540C0" w:rsidRDefault="00FE7D94" w:rsidP="005540C0">
      <w:pPr>
        <w:pStyle w:val="ListParagraph"/>
        <w:numPr>
          <w:ilvl w:val="0"/>
          <w:numId w:val="30"/>
        </w:numPr>
      </w:pPr>
      <w:r w:rsidRPr="00FE7D94">
        <w:rPr>
          <w:u w:val="single"/>
        </w:rPr>
        <w:t>Grind Hard Ammo</w:t>
      </w:r>
      <w:r>
        <w:t xml:space="preserve">.  Grind Hard is also a candidate for tax abatement at a planned 75-100,000 square foot expansion in Indiantown.  </w:t>
      </w:r>
    </w:p>
    <w:p w14:paraId="56F9ED21" w14:textId="77777777" w:rsidR="00FE7D94" w:rsidRDefault="00FE7D94" w:rsidP="005540C0">
      <w:pPr>
        <w:pStyle w:val="ListParagraph"/>
        <w:numPr>
          <w:ilvl w:val="0"/>
          <w:numId w:val="30"/>
        </w:numPr>
      </w:pPr>
      <w:r>
        <w:rPr>
          <w:u w:val="single"/>
        </w:rPr>
        <w:t>Project One</w:t>
      </w:r>
      <w:r w:rsidRPr="00FE7D94">
        <w:t>.</w:t>
      </w:r>
      <w:r>
        <w:t xml:space="preserve">  BDB staff has been working with an international eVTOL</w:t>
      </w:r>
      <w:r w:rsidR="00664776">
        <w:t xml:space="preserve">– electric Vertical Take Off Landing – </w:t>
      </w:r>
      <w:r w:rsidR="0043136B">
        <w:t xml:space="preserve">vehicle </w:t>
      </w:r>
      <w:r w:rsidR="00664776">
        <w:t xml:space="preserve">company </w:t>
      </w:r>
      <w:r>
        <w:t xml:space="preserve">to establish a testing facility at Indiantown Airport.  </w:t>
      </w:r>
    </w:p>
    <w:p w14:paraId="4D0B01D3" w14:textId="77777777" w:rsidR="007F2CF3" w:rsidRPr="0060476D" w:rsidRDefault="007F2CF3" w:rsidP="005540C0">
      <w:pPr>
        <w:pStyle w:val="ListParagraph"/>
        <w:numPr>
          <w:ilvl w:val="0"/>
          <w:numId w:val="30"/>
        </w:numPr>
      </w:pPr>
      <w:r>
        <w:rPr>
          <w:u w:val="single"/>
        </w:rPr>
        <w:t>Activity Reporting</w:t>
      </w:r>
      <w:r w:rsidRPr="007F2CF3">
        <w:t>.</w:t>
      </w:r>
      <w:r>
        <w:t xml:space="preserve">  </w:t>
      </w:r>
      <w:r w:rsidR="008575AE">
        <w:t xml:space="preserve">BusinessFlare has worked with staff to devise an activity reporting system to produce tangible and measurable metrics for the BDB.  </w:t>
      </w:r>
    </w:p>
    <w:p w14:paraId="3A51D8A4" w14:textId="77777777" w:rsidR="00555972" w:rsidRPr="006C3A21" w:rsidRDefault="00555972" w:rsidP="00555972">
      <w:pPr>
        <w:rPr>
          <w:sz w:val="10"/>
          <w:szCs w:val="10"/>
        </w:rPr>
      </w:pPr>
    </w:p>
    <w:p w14:paraId="70F0CF03" w14:textId="77777777" w:rsidR="00677DCD" w:rsidRPr="00664776" w:rsidRDefault="00677DCD" w:rsidP="00677DCD">
      <w:r>
        <w:rPr>
          <w:b/>
          <w:bCs/>
        </w:rPr>
        <w:t>Website Update</w:t>
      </w:r>
      <w:r w:rsidRPr="00664776">
        <w:t xml:space="preserve">.  </w:t>
      </w:r>
      <w:r>
        <w:t xml:space="preserve">A major update to the BDB website was completed.  The website bdbmc.org is a primary marketing tool of the BDB.  Significant improvements include:  the addition of analytics to track and evaluate usage, the addition of a calendar of events, simplified information updating procedures, a digital resource guide, and of course a fresh look.  </w:t>
      </w:r>
    </w:p>
    <w:p w14:paraId="61429236" w14:textId="77777777" w:rsidR="00677DCD" w:rsidRPr="00677DCD" w:rsidRDefault="00677DCD" w:rsidP="00677DCD">
      <w:pPr>
        <w:rPr>
          <w:b/>
          <w:bCs/>
          <w:sz w:val="10"/>
          <w:szCs w:val="10"/>
        </w:rPr>
      </w:pPr>
    </w:p>
    <w:p w14:paraId="51EFFFA7" w14:textId="77777777" w:rsidR="00677DCD" w:rsidRDefault="00677DCD">
      <w:pPr>
        <w:rPr>
          <w:b/>
          <w:bCs/>
        </w:rPr>
      </w:pPr>
      <w:r>
        <w:rPr>
          <w:b/>
          <w:bCs/>
        </w:rPr>
        <w:br w:type="page"/>
      </w:r>
    </w:p>
    <w:p w14:paraId="7F2F81EE" w14:textId="77777777" w:rsidR="000F52EE" w:rsidRPr="000F52EE" w:rsidRDefault="00B92EAF" w:rsidP="00B92EAF">
      <w:pPr>
        <w:spacing w:after="120"/>
      </w:pPr>
      <w:r>
        <w:rPr>
          <w:b/>
          <w:bCs/>
        </w:rPr>
        <w:lastRenderedPageBreak/>
        <w:t>Talent Advancement Team</w:t>
      </w:r>
      <w:r w:rsidR="003A1CF7">
        <w:rPr>
          <w:b/>
          <w:bCs/>
        </w:rPr>
        <w:t xml:space="preserve"> (TAT)</w:t>
      </w:r>
      <w:r>
        <w:rPr>
          <w:b/>
          <w:bCs/>
        </w:rPr>
        <w:t xml:space="preserve"> </w:t>
      </w:r>
      <w:r w:rsidR="000F52EE" w:rsidRPr="000F52EE">
        <w:t xml:space="preserve">held its </w:t>
      </w:r>
      <w:r w:rsidR="00BA30D6">
        <w:t>summer</w:t>
      </w:r>
      <w:r w:rsidR="000F52EE" w:rsidRPr="000F52EE">
        <w:t xml:space="preserve"> meeting</w:t>
      </w:r>
      <w:r w:rsidR="000F52EE">
        <w:t xml:space="preserve"> at the </w:t>
      </w:r>
      <w:r w:rsidR="00FE7D94">
        <w:t xml:space="preserve">Indian River State College </w:t>
      </w:r>
      <w:r w:rsidR="00664776">
        <w:t xml:space="preserve">(IRSC) </w:t>
      </w:r>
      <w:r w:rsidR="00FE7D94">
        <w:t>Advanced Manufacturing</w:t>
      </w:r>
      <w:r w:rsidR="000F52EE">
        <w:t xml:space="preserve"> Center.  </w:t>
      </w:r>
      <w:r w:rsidR="003A1CF7">
        <w:t xml:space="preserve">This was a joint meeting of the TAT and the manufacturers’ roundtable.  </w:t>
      </w:r>
      <w:r w:rsidR="000F52EE">
        <w:t xml:space="preserve">Emphasis of dialogue continues to be the need to shift academic focus away from </w:t>
      </w:r>
      <w:r w:rsidR="0098342A">
        <w:t>the</w:t>
      </w:r>
      <w:r w:rsidR="000F52EE">
        <w:t xml:space="preserve"> present four-year college orientation and more toward traditional apprenticeships and internships</w:t>
      </w:r>
      <w:r w:rsidR="0098342A">
        <w:t>, along with more skills training</w:t>
      </w:r>
      <w:r w:rsidR="000F52EE">
        <w:t xml:space="preserve">.  </w:t>
      </w:r>
      <w:r w:rsidR="00664776">
        <w:t xml:space="preserve">IRSC also reports difficulties in recruiting instructors for its manufacturing and trades programs.  </w:t>
      </w:r>
    </w:p>
    <w:p w14:paraId="5C98869D" w14:textId="77777777" w:rsidR="004A5EE7" w:rsidRDefault="004A5EE7" w:rsidP="004A5EE7">
      <w:r w:rsidRPr="00490772">
        <w:rPr>
          <w:b/>
          <w:bCs/>
        </w:rPr>
        <w:t>Industrial Development Authority</w:t>
      </w:r>
      <w:r w:rsidRPr="00490772">
        <w:t xml:space="preserve"> </w:t>
      </w:r>
      <w:r w:rsidR="00BA30D6">
        <w:t>was unable to meet as planned, due to scheduling conflicts</w:t>
      </w:r>
      <w:r w:rsidR="00490772">
        <w:t xml:space="preserve">. </w:t>
      </w:r>
      <w:r w:rsidR="007F42F4">
        <w:t xml:space="preserve"> </w:t>
      </w:r>
      <w:r w:rsidR="00BA30D6">
        <w:t xml:space="preserve">Annual Meeting is scheduled to meet October 16, 2024.  BDB is proposing to establish a quarterly meeting schedule.  </w:t>
      </w:r>
    </w:p>
    <w:p w14:paraId="62711850" w14:textId="77777777" w:rsidR="0029273C" w:rsidRPr="00677DCD" w:rsidRDefault="0029273C" w:rsidP="00B92EAF">
      <w:pPr>
        <w:rPr>
          <w:b/>
          <w:bCs/>
        </w:rPr>
      </w:pPr>
    </w:p>
    <w:p w14:paraId="27BEA8C1" w14:textId="77777777" w:rsidR="0029273C" w:rsidRPr="0029273C" w:rsidRDefault="00BA30D6" w:rsidP="00B92EAF">
      <w:pPr>
        <w:rPr>
          <w:b/>
          <w:bCs/>
        </w:rPr>
      </w:pPr>
      <w:r>
        <w:rPr>
          <w:b/>
          <w:bCs/>
        </w:rPr>
        <w:t>MARTIN COUNTY SPECIAL PROJECTS</w:t>
      </w:r>
    </w:p>
    <w:p w14:paraId="585CB8F9" w14:textId="77777777" w:rsidR="00BA30D6" w:rsidRPr="00005A64" w:rsidRDefault="00BA30D6" w:rsidP="00B92EAF">
      <w:pPr>
        <w:rPr>
          <w:sz w:val="10"/>
          <w:szCs w:val="10"/>
        </w:rPr>
      </w:pPr>
    </w:p>
    <w:p w14:paraId="7830FF85" w14:textId="77777777" w:rsidR="009F4AF6" w:rsidRDefault="009F4AF6" w:rsidP="00B92EAF">
      <w:r w:rsidRPr="009F4AF6">
        <w:rPr>
          <w:b/>
          <w:bCs/>
        </w:rPr>
        <w:t xml:space="preserve">Special Projects </w:t>
      </w:r>
      <w:r w:rsidR="009922A7">
        <w:rPr>
          <w:b/>
          <w:bCs/>
        </w:rPr>
        <w:t>Completed</w:t>
      </w:r>
      <w:r w:rsidRPr="009F4AF6">
        <w:rPr>
          <w:b/>
          <w:bCs/>
        </w:rPr>
        <w:t>.</w:t>
      </w:r>
      <w:r>
        <w:t xml:space="preserve">  Earlier this year, the Martin Board of County Commissioners (BOCC) unanimously approved a set of special projects.</w:t>
      </w:r>
      <w:r w:rsidR="000B0CA1">
        <w:t xml:space="preserve">  Special projects, by their nature, often transcend ordinary time frames, including fiscal years.  </w:t>
      </w:r>
      <w:r w:rsidR="008C3C4B">
        <w:t>The BDB took these on</w:t>
      </w:r>
      <w:r w:rsidR="0043136B">
        <w:t>,</w:t>
      </w:r>
      <w:r w:rsidR="008C3C4B">
        <w:t xml:space="preserve"> </w:t>
      </w:r>
      <w:r w:rsidR="003F1DC3">
        <w:t>producing</w:t>
      </w:r>
      <w:r w:rsidR="008C3C4B">
        <w:t xml:space="preserve"> the following results:</w:t>
      </w:r>
      <w:r w:rsidR="00A77743">
        <w:t xml:space="preserve">  </w:t>
      </w:r>
    </w:p>
    <w:p w14:paraId="0AC79412" w14:textId="77777777" w:rsidR="008C3C4B" w:rsidRPr="009922A7" w:rsidRDefault="008C3C4B" w:rsidP="00B92EAF">
      <w:pPr>
        <w:rPr>
          <w:sz w:val="10"/>
          <w:szCs w:val="10"/>
        </w:rPr>
      </w:pPr>
    </w:p>
    <w:p w14:paraId="258828AB" w14:textId="77777777" w:rsidR="0029273C" w:rsidRDefault="00BA30D6" w:rsidP="006E2904">
      <w:pPr>
        <w:pStyle w:val="ListParagraph"/>
        <w:numPr>
          <w:ilvl w:val="0"/>
          <w:numId w:val="32"/>
        </w:numPr>
        <w:spacing w:after="120"/>
        <w:contextualSpacing w:val="0"/>
      </w:pPr>
      <w:r w:rsidRPr="008C3C4B">
        <w:rPr>
          <w:u w:val="single"/>
        </w:rPr>
        <w:t>Connex Workshop</w:t>
      </w:r>
      <w:r w:rsidR="008C3C4B">
        <w:t xml:space="preserve"> was held August 21</w:t>
      </w:r>
      <w:r w:rsidR="008C3C4B" w:rsidRPr="008C3C4B">
        <w:rPr>
          <w:vertAlign w:val="superscript"/>
        </w:rPr>
        <w:t>st</w:t>
      </w:r>
      <w:r w:rsidR="008C3C4B">
        <w:t xml:space="preserve">.  </w:t>
      </w:r>
      <w:r w:rsidR="003F1DC3">
        <w:t xml:space="preserve">Supply chain issues is one of the topics which is often reported during Pulse visits.  The State of Florida, however, already has an existing website portal for manufacturers and suppliers to connect through.  </w:t>
      </w:r>
      <w:r w:rsidR="008C3C4B">
        <w:t xml:space="preserve">This </w:t>
      </w:r>
      <w:r w:rsidR="003A76E4">
        <w:t xml:space="preserve">event was organized to </w:t>
      </w:r>
      <w:r w:rsidR="003F1DC3">
        <w:t xml:space="preserve">introduce </w:t>
      </w:r>
      <w:r w:rsidR="003A76E4">
        <w:t xml:space="preserve">local companies to these connections.  It was a hands-on event; participants brought their laptops and were instructed on how to register, search, and utilize the systems.  A state official said that it was the best of these type conferences he has participated in.  </w:t>
      </w:r>
    </w:p>
    <w:p w14:paraId="738CEF73" w14:textId="77777777" w:rsidR="003A76E4" w:rsidRDefault="003A76E4" w:rsidP="006E2904">
      <w:pPr>
        <w:pStyle w:val="ListParagraph"/>
        <w:numPr>
          <w:ilvl w:val="0"/>
          <w:numId w:val="32"/>
        </w:numPr>
        <w:spacing w:after="120"/>
        <w:contextualSpacing w:val="0"/>
      </w:pPr>
      <w:r w:rsidRPr="003A76E4">
        <w:rPr>
          <w:u w:val="single"/>
        </w:rPr>
        <w:t>Access to Capital Workshop</w:t>
      </w:r>
      <w:r>
        <w:t xml:space="preserve"> was held September 13</w:t>
      </w:r>
      <w:r w:rsidRPr="003A76E4">
        <w:rPr>
          <w:vertAlign w:val="superscript"/>
        </w:rPr>
        <w:t>th</w:t>
      </w:r>
      <w:r>
        <w:t xml:space="preserve">.  Businesses have differing capital needs at different stages of growth.  This conference introduced attendees to a full range of financing opportunities, from start-ups to Stage 2 businesses to major capital investments. </w:t>
      </w:r>
    </w:p>
    <w:p w14:paraId="00CB0BFD" w14:textId="77777777" w:rsidR="003E6D2A" w:rsidRDefault="003E5542" w:rsidP="006E2904">
      <w:pPr>
        <w:pStyle w:val="ListParagraph"/>
        <w:numPr>
          <w:ilvl w:val="0"/>
          <w:numId w:val="32"/>
        </w:numPr>
        <w:spacing w:after="120"/>
        <w:contextualSpacing w:val="0"/>
      </w:pPr>
      <w:r w:rsidRPr="003A76E4">
        <w:rPr>
          <w:u w:val="single"/>
        </w:rPr>
        <w:t>Manufacturers Roundtable</w:t>
      </w:r>
      <w:r w:rsidR="003A76E4">
        <w:t xml:space="preserve"> was taken over by the BDB.  This a periodic get-together of manufacturing product lines to compare notes and discuss common concerns.  A significant outcome of BDB’s involvement is the establishment of strong ties to the South Florida Manufacturers Association</w:t>
      </w:r>
      <w:r w:rsidR="003E6D2A">
        <w:t xml:space="preserve"> (SFMA)</w:t>
      </w:r>
      <w:r w:rsidR="003A76E4">
        <w:t xml:space="preserve">.  </w:t>
      </w:r>
      <w:r w:rsidR="003E6D2A">
        <w:t xml:space="preserve">SFMA is now actively participating in Martin County events, including the TAT gathering at IRSC mentioned elsewhere, and also speaking on behalf of Martin commercial-industrial land development.  </w:t>
      </w:r>
    </w:p>
    <w:p w14:paraId="08978A1B" w14:textId="77777777" w:rsidR="00BA30D6" w:rsidRDefault="00BA30D6" w:rsidP="006E2904">
      <w:pPr>
        <w:pStyle w:val="ListParagraph"/>
        <w:numPr>
          <w:ilvl w:val="0"/>
          <w:numId w:val="32"/>
        </w:numPr>
        <w:spacing w:after="120"/>
        <w:contextualSpacing w:val="0"/>
      </w:pPr>
      <w:r w:rsidRPr="003E6D2A">
        <w:rPr>
          <w:u w:val="single"/>
        </w:rPr>
        <w:t>Pulse Program</w:t>
      </w:r>
      <w:r w:rsidR="009922A7">
        <w:rPr>
          <w:u w:val="single"/>
        </w:rPr>
        <w:t xml:space="preserve"> &amp; Training</w:t>
      </w:r>
      <w:r>
        <w:t xml:space="preserve">.  BDB hired an independent contractor using the monies approved by Martin County.  </w:t>
      </w:r>
      <w:r w:rsidR="003E6D2A">
        <w:t xml:space="preserve">This allowed the BDB to maintain a steady pace of Pulse visits, despite staff turnovers.  The Pulse “training” project was </w:t>
      </w:r>
      <w:r w:rsidR="0043136B">
        <w:t>conducted inhouse by staff</w:t>
      </w:r>
      <w:r w:rsidR="003E6D2A">
        <w:t xml:space="preserve">.  The training monies were directed into visits instead.  </w:t>
      </w:r>
    </w:p>
    <w:p w14:paraId="3899F332" w14:textId="77777777" w:rsidR="007F2CF3" w:rsidRDefault="007F2CF3" w:rsidP="006E2904">
      <w:pPr>
        <w:pStyle w:val="ListParagraph"/>
        <w:numPr>
          <w:ilvl w:val="0"/>
          <w:numId w:val="32"/>
        </w:numPr>
        <w:spacing w:after="120"/>
        <w:contextualSpacing w:val="0"/>
      </w:pPr>
      <w:r w:rsidRPr="007F2CF3">
        <w:rPr>
          <w:u w:val="single"/>
        </w:rPr>
        <w:t>Workforce and Education Resource Guide</w:t>
      </w:r>
      <w:r>
        <w:rPr>
          <w:b/>
          <w:bCs/>
        </w:rPr>
        <w:t xml:space="preserve">.  </w:t>
      </w:r>
      <w:r w:rsidRPr="007F2CF3">
        <w:t xml:space="preserve">The </w:t>
      </w:r>
      <w:r>
        <w:t xml:space="preserve">resource guide was fully revamped.  It is now fully digital and more user-friendly.  It </w:t>
      </w:r>
      <w:r w:rsidR="003447B8">
        <w:t xml:space="preserve">also </w:t>
      </w:r>
      <w:r>
        <w:t xml:space="preserve">provides </w:t>
      </w:r>
      <w:r w:rsidRPr="00A0163A">
        <w:t>comprehensive</w:t>
      </w:r>
      <w:r>
        <w:t xml:space="preserve"> </w:t>
      </w:r>
      <w:r w:rsidRPr="00A0163A">
        <w:t xml:space="preserve">resources for </w:t>
      </w:r>
      <w:r>
        <w:t xml:space="preserve">returning </w:t>
      </w:r>
      <w:r w:rsidRPr="00A0163A">
        <w:t>veterans</w:t>
      </w:r>
      <w:r>
        <w:t xml:space="preserve">.  </w:t>
      </w:r>
      <w:r w:rsidR="0043136B">
        <w:t xml:space="preserve">Visit </w:t>
      </w:r>
      <w:hyperlink r:id="rId9" w:history="1">
        <w:r w:rsidR="0043136B" w:rsidRPr="005F626B">
          <w:rPr>
            <w:rStyle w:val="Hyperlink"/>
          </w:rPr>
          <w:t>https://bdbmc.org/why-martin-county/workforce-education/</w:t>
        </w:r>
      </w:hyperlink>
      <w:r w:rsidR="0043136B">
        <w:t xml:space="preserve"> for more information.</w:t>
      </w:r>
    </w:p>
    <w:p w14:paraId="05138BCA" w14:textId="77777777" w:rsidR="00490772" w:rsidRPr="00005A64" w:rsidRDefault="00490772" w:rsidP="00B92EAF">
      <w:pPr>
        <w:rPr>
          <w:sz w:val="10"/>
          <w:szCs w:val="10"/>
        </w:rPr>
      </w:pPr>
    </w:p>
    <w:p w14:paraId="59E66C3E" w14:textId="77777777" w:rsidR="00942772" w:rsidRDefault="003447B8" w:rsidP="00B92EAF">
      <w:r w:rsidRPr="003447B8">
        <w:rPr>
          <w:b/>
          <w:bCs/>
        </w:rPr>
        <w:t xml:space="preserve">Projects Summary. </w:t>
      </w:r>
      <w:r>
        <w:t xml:space="preserve"> </w:t>
      </w:r>
      <w:r w:rsidR="006E2904">
        <w:t xml:space="preserve">The </w:t>
      </w:r>
      <w:r w:rsidR="00677DCD">
        <w:t xml:space="preserve">following </w:t>
      </w:r>
      <w:r w:rsidR="006E2904">
        <w:t xml:space="preserve">table summarizes the status and cost of the Special Projects.  </w:t>
      </w:r>
      <w:r>
        <w:t>The reader will note that many of the projects were completed by staff</w:t>
      </w:r>
      <w:r w:rsidR="00942772">
        <w:t xml:space="preserve"> </w:t>
      </w:r>
      <w:r>
        <w:t xml:space="preserve">or through existing budgets.  Therefore the costs were often less than anticipated.  For example, the Digital </w:t>
      </w:r>
      <w:r w:rsidR="0043136B">
        <w:t xml:space="preserve">Workforce and Education </w:t>
      </w:r>
      <w:r>
        <w:lastRenderedPageBreak/>
        <w:t xml:space="preserve">Resource Guide, was completed under the website renovation contract which was already paid for.  </w:t>
      </w:r>
      <w:r w:rsidR="00942772">
        <w:t xml:space="preserve">Another example is the Pulse Training which was conducted by staff.  </w:t>
      </w:r>
    </w:p>
    <w:p w14:paraId="77D378A3" w14:textId="77777777" w:rsidR="00942772" w:rsidRPr="00677DCD" w:rsidRDefault="00942772" w:rsidP="00B92EAF">
      <w:pPr>
        <w:rPr>
          <w:sz w:val="10"/>
          <w:szCs w:val="10"/>
        </w:rPr>
      </w:pPr>
    </w:p>
    <w:p w14:paraId="06C7F78F" w14:textId="77777777" w:rsidR="00942772" w:rsidRDefault="002C2F8A" w:rsidP="00CA0970">
      <w:pPr>
        <w:pStyle w:val="ListParagraph"/>
        <w:numPr>
          <w:ilvl w:val="0"/>
          <w:numId w:val="33"/>
        </w:numPr>
      </w:pPr>
      <w:r w:rsidRPr="00CA0970">
        <w:rPr>
          <w:u w:val="single"/>
        </w:rPr>
        <w:t>Special Projects</w:t>
      </w:r>
      <w:r>
        <w:t xml:space="preserve"> with status labelled “FY25” will be scheduled for </w:t>
      </w:r>
      <w:r w:rsidR="00942772">
        <w:t>the fiscal year beginning October 1, 2024</w:t>
      </w:r>
      <w:r>
        <w:t xml:space="preserve">.  </w:t>
      </w:r>
      <w:r w:rsidR="00942772">
        <w:t xml:space="preserve">The summary notes that approximately $41,000 of the previously approved funding remains committed for the </w:t>
      </w:r>
      <w:r w:rsidR="0043136B">
        <w:t>upcoming</w:t>
      </w:r>
      <w:r w:rsidR="00A76BB1">
        <w:t xml:space="preserve"> projects</w:t>
      </w:r>
      <w:r w:rsidR="00942772">
        <w:t xml:space="preserve">.  </w:t>
      </w:r>
    </w:p>
    <w:p w14:paraId="4070E39E" w14:textId="77777777" w:rsidR="00CA0970" w:rsidRPr="00677DCD" w:rsidRDefault="00CA0970" w:rsidP="00B92EAF">
      <w:pPr>
        <w:rPr>
          <w:sz w:val="10"/>
          <w:szCs w:val="10"/>
        </w:rPr>
      </w:pPr>
    </w:p>
    <w:p w14:paraId="45D906DB" w14:textId="77777777" w:rsidR="00CA0970" w:rsidRDefault="00CA0970" w:rsidP="00B92EAF">
      <w:pPr>
        <w:pStyle w:val="ListParagraph"/>
        <w:numPr>
          <w:ilvl w:val="0"/>
          <w:numId w:val="24"/>
        </w:numPr>
        <w:spacing w:after="40"/>
        <w:contextualSpacing w:val="0"/>
      </w:pPr>
      <w:r>
        <w:rPr>
          <w:u w:val="single"/>
        </w:rPr>
        <w:t>Contract Reserve Amount.</w:t>
      </w:r>
      <w:r>
        <w:t xml:space="preserve">  Analysis indicates an amount available for projects of $51,084.  Of this amount, $41,000 is committed to previously approved projects.  Therefore, $10,084 is available for additional projects.  </w:t>
      </w:r>
      <w:r w:rsidR="008B697F">
        <w:t xml:space="preserve">Analytical detail will be submitted to Martin County in a separate report.  </w:t>
      </w:r>
    </w:p>
    <w:p w14:paraId="31E8CCF6" w14:textId="77777777" w:rsidR="00FC2DE0" w:rsidRDefault="003353AF" w:rsidP="00FC2DE0">
      <w:pPr>
        <w:rPr>
          <w:b/>
          <w:bCs/>
        </w:rPr>
      </w:pPr>
      <w:r>
        <w:rPr>
          <w:b/>
          <w:bCs/>
          <w:noProof/>
        </w:rPr>
        <w:drawing>
          <wp:inline distT="0" distB="0" distL="0" distR="0" wp14:anchorId="2DA079D4" wp14:editId="006E907D">
            <wp:extent cx="6400800" cy="3531235"/>
            <wp:effectExtent l="0" t="0" r="0" b="0"/>
            <wp:docPr id="1885728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28559" name="Picture 1885728559"/>
                    <pic:cNvPicPr/>
                  </pic:nvPicPr>
                  <pic:blipFill>
                    <a:blip r:embed="rId10"/>
                    <a:stretch>
                      <a:fillRect/>
                    </a:stretch>
                  </pic:blipFill>
                  <pic:spPr>
                    <a:xfrm>
                      <a:off x="0" y="0"/>
                      <a:ext cx="6400800" cy="3531235"/>
                    </a:xfrm>
                    <a:prstGeom prst="rect">
                      <a:avLst/>
                    </a:prstGeom>
                  </pic:spPr>
                </pic:pic>
              </a:graphicData>
            </a:graphic>
          </wp:inline>
        </w:drawing>
      </w:r>
    </w:p>
    <w:p w14:paraId="4B0BC532" w14:textId="77777777" w:rsidR="00FC2DE0" w:rsidRDefault="00FC2DE0" w:rsidP="00FC2DE0">
      <w:pPr>
        <w:rPr>
          <w:b/>
          <w:bCs/>
        </w:rPr>
      </w:pPr>
    </w:p>
    <w:p w14:paraId="1D98E21D" w14:textId="77777777" w:rsidR="00FC2DE0" w:rsidRDefault="00FC2DE0" w:rsidP="00FC2DE0">
      <w:pPr>
        <w:rPr>
          <w:b/>
          <w:bCs/>
        </w:rPr>
      </w:pPr>
    </w:p>
    <w:p w14:paraId="0D2728F0" w14:textId="77777777" w:rsidR="0011583C" w:rsidRDefault="0011583C" w:rsidP="00FC2DE0">
      <w:pPr>
        <w:rPr>
          <w:b/>
          <w:bCs/>
        </w:rPr>
      </w:pPr>
    </w:p>
    <w:p w14:paraId="325A2DB8" w14:textId="77777777" w:rsidR="00FC2DE0" w:rsidRDefault="00FC2DE0" w:rsidP="00FC2DE0">
      <w:pPr>
        <w:rPr>
          <w:b/>
          <w:bCs/>
        </w:rPr>
      </w:pPr>
    </w:p>
    <w:p w14:paraId="4898BDF7" w14:textId="77777777" w:rsidR="00CB7E3F" w:rsidRDefault="00CB7E3F">
      <w:pPr>
        <w:rPr>
          <w:b/>
          <w:bCs/>
        </w:rPr>
      </w:pPr>
      <w:r>
        <w:rPr>
          <w:b/>
          <w:bCs/>
        </w:rPr>
        <w:br w:type="page"/>
      </w:r>
    </w:p>
    <w:p w14:paraId="26BC8992" w14:textId="77777777" w:rsidR="00177F63" w:rsidRPr="00294550" w:rsidRDefault="00294550" w:rsidP="00FC2DE0">
      <w:pPr>
        <w:jc w:val="center"/>
        <w:rPr>
          <w:b/>
          <w:bCs/>
        </w:rPr>
      </w:pPr>
      <w:r>
        <w:rPr>
          <w:b/>
          <w:bCs/>
        </w:rPr>
        <w:lastRenderedPageBreak/>
        <w:t xml:space="preserve">PART </w:t>
      </w:r>
      <w:r w:rsidR="00663547">
        <w:rPr>
          <w:b/>
          <w:bCs/>
        </w:rPr>
        <w:t>THREE</w:t>
      </w:r>
      <w:r>
        <w:rPr>
          <w:b/>
          <w:bCs/>
        </w:rPr>
        <w:t xml:space="preserve"> </w:t>
      </w:r>
      <w:r w:rsidR="00043EA8" w:rsidRPr="00294550">
        <w:rPr>
          <w:b/>
          <w:bCs/>
        </w:rPr>
        <w:t xml:space="preserve">FINANCIAL </w:t>
      </w:r>
      <w:r w:rsidR="003A39A3">
        <w:rPr>
          <w:b/>
          <w:bCs/>
        </w:rPr>
        <w:t>REPORTS</w:t>
      </w:r>
    </w:p>
    <w:p w14:paraId="29F65B8A" w14:textId="77777777" w:rsidR="00854DF7" w:rsidRDefault="00854DF7" w:rsidP="00043EA8"/>
    <w:p w14:paraId="6B228B21" w14:textId="77777777" w:rsidR="00BB6932" w:rsidRDefault="00BB6932" w:rsidP="00043EA8">
      <w:r>
        <w:t xml:space="preserve">The </w:t>
      </w:r>
      <w:r w:rsidR="003447B8">
        <w:t>F</w:t>
      </w:r>
      <w:r w:rsidR="00475E62">
        <w:t xml:space="preserve">iscal </w:t>
      </w:r>
      <w:r w:rsidR="003447B8">
        <w:t>Y</w:t>
      </w:r>
      <w:r w:rsidR="00475E62">
        <w:t xml:space="preserve">ear </w:t>
      </w:r>
      <w:r w:rsidR="003447B8">
        <w:t xml:space="preserve">2023-2024 </w:t>
      </w:r>
      <w:r w:rsidR="00475E62">
        <w:t>f</w:t>
      </w:r>
      <w:r>
        <w:t xml:space="preserve">inancial </w:t>
      </w:r>
      <w:r w:rsidR="00BA30D6">
        <w:t>r</w:t>
      </w:r>
      <w:r>
        <w:t>eports</w:t>
      </w:r>
      <w:r w:rsidR="00B51747">
        <w:t xml:space="preserve"> formats</w:t>
      </w:r>
      <w:r w:rsidR="00475E62">
        <w:t xml:space="preserve"> have been updated as follows</w:t>
      </w:r>
      <w:r>
        <w:t xml:space="preserve">: </w:t>
      </w:r>
    </w:p>
    <w:p w14:paraId="27407490" w14:textId="77777777" w:rsidR="00BB6932" w:rsidRDefault="00BB6932" w:rsidP="00BB6932">
      <w:pPr>
        <w:pStyle w:val="ListParagraph"/>
        <w:numPr>
          <w:ilvl w:val="0"/>
          <w:numId w:val="29"/>
        </w:numPr>
      </w:pPr>
      <w:r>
        <w:t xml:space="preserve">The reports are changed to a cash basis rather than accrual basis.  </w:t>
      </w:r>
    </w:p>
    <w:p w14:paraId="6EC490A7" w14:textId="77777777" w:rsidR="00BB6932" w:rsidRDefault="00BB6932" w:rsidP="00BB6932">
      <w:pPr>
        <w:pStyle w:val="ListParagraph"/>
        <w:numPr>
          <w:ilvl w:val="0"/>
          <w:numId w:val="29"/>
        </w:numPr>
      </w:pPr>
      <w:r>
        <w:t xml:space="preserve">The reports are simplified, with extraneous details removed or reclassified </w:t>
      </w:r>
      <w:r w:rsidR="00A552BC">
        <w:t xml:space="preserve">in order </w:t>
      </w:r>
      <w:r>
        <w:t>to present a simple and clear report format</w:t>
      </w:r>
      <w:r w:rsidR="00A552BC">
        <w:rPr>
          <w:rStyle w:val="FootnoteReference"/>
        </w:rPr>
        <w:footnoteReference w:id="1"/>
      </w:r>
      <w:r>
        <w:t xml:space="preserve">.  </w:t>
      </w:r>
    </w:p>
    <w:p w14:paraId="05EE366E" w14:textId="77777777" w:rsidR="00BB6932" w:rsidRDefault="00BB6932" w:rsidP="00BB6932">
      <w:pPr>
        <w:pStyle w:val="ListParagraph"/>
        <w:numPr>
          <w:ilvl w:val="0"/>
          <w:numId w:val="29"/>
        </w:numPr>
      </w:pPr>
      <w:r>
        <w:t xml:space="preserve">Reports are prepared directly from </w:t>
      </w:r>
      <w:r w:rsidR="00A552BC">
        <w:t xml:space="preserve">BDB accounting software.  </w:t>
      </w:r>
      <w:r w:rsidR="003447B8">
        <w:t xml:space="preserve">The </w:t>
      </w:r>
      <w:r w:rsidR="00B43595">
        <w:t>Gelinas Group</w:t>
      </w:r>
      <w:r w:rsidR="003447B8">
        <w:t xml:space="preserve"> continue to provide </w:t>
      </w:r>
      <w:r w:rsidR="00B43595">
        <w:t xml:space="preserve">routine </w:t>
      </w:r>
      <w:r w:rsidR="003447B8">
        <w:t>accounting services and monthly bank reconciliation</w:t>
      </w:r>
      <w:r w:rsidR="00B43595">
        <w:t>s</w:t>
      </w:r>
      <w:r w:rsidR="003447B8">
        <w:t>.</w:t>
      </w:r>
      <w:r w:rsidR="00B43595">
        <w:t xml:space="preserve">  Staff has taken on more responsibilities for day to day financial management.  </w:t>
      </w:r>
    </w:p>
    <w:p w14:paraId="1EAAD2D5" w14:textId="77777777" w:rsidR="00BB6932" w:rsidRDefault="00BB6932" w:rsidP="00043EA8"/>
    <w:p w14:paraId="1A670A0D" w14:textId="77777777" w:rsidR="00043EA8" w:rsidRDefault="00294550" w:rsidP="00043EA8">
      <w:r>
        <w:t xml:space="preserve">The following reports are included as of </w:t>
      </w:r>
      <w:r w:rsidR="00BA30D6">
        <w:t>September</w:t>
      </w:r>
      <w:r w:rsidR="008B35CA">
        <w:t xml:space="preserve"> 30</w:t>
      </w:r>
      <w:r w:rsidR="00550DDC">
        <w:t>, 2024</w:t>
      </w:r>
      <w:r>
        <w:t>:</w:t>
      </w:r>
    </w:p>
    <w:p w14:paraId="7DF951F0" w14:textId="77777777" w:rsidR="00292E57" w:rsidRDefault="00294550" w:rsidP="006D348A">
      <w:pPr>
        <w:pStyle w:val="ListParagraph"/>
        <w:numPr>
          <w:ilvl w:val="0"/>
          <w:numId w:val="21"/>
        </w:numPr>
        <w:snapToGrid w:val="0"/>
        <w:spacing w:after="120"/>
      </w:pPr>
      <w:r w:rsidRPr="00854DF7">
        <w:rPr>
          <w:b/>
          <w:bCs/>
        </w:rPr>
        <w:t>Bal</w:t>
      </w:r>
      <w:r w:rsidR="00835B4D" w:rsidRPr="00854DF7">
        <w:rPr>
          <w:b/>
          <w:bCs/>
        </w:rPr>
        <w:t>a</w:t>
      </w:r>
      <w:r w:rsidRPr="00854DF7">
        <w:rPr>
          <w:b/>
          <w:bCs/>
        </w:rPr>
        <w:t xml:space="preserve">nce </w:t>
      </w:r>
      <w:r w:rsidR="00835B4D" w:rsidRPr="00854DF7">
        <w:rPr>
          <w:b/>
          <w:bCs/>
        </w:rPr>
        <w:t>Sheet</w:t>
      </w:r>
      <w:r w:rsidR="00835B4D">
        <w:t xml:space="preserve">.  </w:t>
      </w:r>
      <w:r w:rsidR="00854DF7">
        <w:t xml:space="preserve">Bank statements are reviewed and reconciled </w:t>
      </w:r>
      <w:r w:rsidR="00BB6932">
        <w:t xml:space="preserve">monthly </w:t>
      </w:r>
      <w:r w:rsidR="00854DF7">
        <w:t xml:space="preserve">by </w:t>
      </w:r>
      <w:r w:rsidR="00122D4D">
        <w:t>t</w:t>
      </w:r>
      <w:r w:rsidR="00854DF7">
        <w:t xml:space="preserve">he Board’s independent </w:t>
      </w:r>
      <w:r w:rsidR="00A552BC">
        <w:t>third-party</w:t>
      </w:r>
      <w:r w:rsidR="00854DF7">
        <w:t xml:space="preserve"> accounting firm</w:t>
      </w:r>
      <w:r w:rsidR="00475E62">
        <w:t xml:space="preserve"> creating separation of duties </w:t>
      </w:r>
      <w:r w:rsidR="002A1CED">
        <w:t>from</w:t>
      </w:r>
      <w:r w:rsidR="00475E62">
        <w:t xml:space="preserve"> staff</w:t>
      </w:r>
      <w:r w:rsidR="002A1CED">
        <w:t xml:space="preserve"> actions</w:t>
      </w:r>
      <w:r w:rsidR="00854DF7">
        <w:t xml:space="preserve">.  </w:t>
      </w:r>
    </w:p>
    <w:p w14:paraId="60C94D63" w14:textId="77777777" w:rsidR="002A1CED" w:rsidRDefault="002A1CED" w:rsidP="006D348A">
      <w:pPr>
        <w:pStyle w:val="ListParagraph"/>
        <w:numPr>
          <w:ilvl w:val="1"/>
          <w:numId w:val="21"/>
        </w:numPr>
        <w:snapToGrid w:val="0"/>
        <w:spacing w:after="120"/>
      </w:pPr>
      <w:r w:rsidRPr="002A1CED">
        <w:t>Actual cash balance at end of the quarter is $3</w:t>
      </w:r>
      <w:r w:rsidR="00292E57">
        <w:t>0</w:t>
      </w:r>
      <w:r w:rsidR="00F51F73">
        <w:t>1,153</w:t>
      </w:r>
      <w:r w:rsidRPr="002A1CED">
        <w:t>.</w:t>
      </w:r>
      <w:r>
        <w:t xml:space="preserve"> </w:t>
      </w:r>
    </w:p>
    <w:p w14:paraId="25AAA9B4" w14:textId="77777777" w:rsidR="00D35EAE" w:rsidRDefault="00D35EAE" w:rsidP="006D348A">
      <w:pPr>
        <w:pStyle w:val="ListParagraph"/>
        <w:numPr>
          <w:ilvl w:val="1"/>
          <w:numId w:val="21"/>
        </w:numPr>
        <w:snapToGrid w:val="0"/>
        <w:spacing w:after="120"/>
      </w:pPr>
      <w:r>
        <w:t xml:space="preserve">Note a pre-paid expense of $7,000 for a site selector software subscription covering the next fiscal year.  </w:t>
      </w:r>
    </w:p>
    <w:p w14:paraId="1F3D36F5" w14:textId="77777777" w:rsidR="00854DF7" w:rsidRDefault="00854DF7" w:rsidP="006D348A">
      <w:pPr>
        <w:pStyle w:val="ListParagraph"/>
        <w:numPr>
          <w:ilvl w:val="0"/>
          <w:numId w:val="21"/>
        </w:numPr>
        <w:snapToGrid w:val="0"/>
      </w:pPr>
      <w:r>
        <w:rPr>
          <w:b/>
          <w:bCs/>
        </w:rPr>
        <w:t xml:space="preserve">Income Statement </w:t>
      </w:r>
      <w:r w:rsidR="00CE78CE">
        <w:rPr>
          <w:b/>
          <w:bCs/>
        </w:rPr>
        <w:t xml:space="preserve">/ </w:t>
      </w:r>
      <w:r w:rsidR="00835B4D" w:rsidRPr="00854DF7">
        <w:rPr>
          <w:b/>
          <w:bCs/>
        </w:rPr>
        <w:t>Budget</w:t>
      </w:r>
      <w:r w:rsidR="00CE78CE">
        <w:rPr>
          <w:b/>
          <w:bCs/>
        </w:rPr>
        <w:t xml:space="preserve"> Versus Actual</w:t>
      </w:r>
      <w:r>
        <w:t>.  Please note the following comments:</w:t>
      </w:r>
    </w:p>
    <w:p w14:paraId="0A72234F" w14:textId="77777777" w:rsidR="006D348A" w:rsidRDefault="006D348A" w:rsidP="006D348A">
      <w:pPr>
        <w:pStyle w:val="ListParagraph"/>
        <w:numPr>
          <w:ilvl w:val="1"/>
          <w:numId w:val="21"/>
        </w:numPr>
        <w:snapToGrid w:val="0"/>
        <w:spacing w:after="120"/>
      </w:pPr>
      <w:r>
        <w:t xml:space="preserve">Net income </w:t>
      </w:r>
      <w:r w:rsidR="00D12238">
        <w:t>(</w:t>
      </w:r>
      <w:r w:rsidR="00B43595">
        <w:t xml:space="preserve">or </w:t>
      </w:r>
      <w:r w:rsidR="00D12238">
        <w:t xml:space="preserve">loss) </w:t>
      </w:r>
      <w:r>
        <w:t xml:space="preserve">for the quarter is </w:t>
      </w:r>
      <w:r w:rsidR="00D35EAE">
        <w:t>($15,440)</w:t>
      </w:r>
      <w:r>
        <w:t>.</w:t>
      </w:r>
      <w:r w:rsidR="00B43595">
        <w:t xml:space="preserve">  </w:t>
      </w:r>
    </w:p>
    <w:p w14:paraId="57C13A0E" w14:textId="77777777" w:rsidR="008E7E8B" w:rsidRDefault="008E7E8B" w:rsidP="006D348A">
      <w:pPr>
        <w:pStyle w:val="ListParagraph"/>
        <w:numPr>
          <w:ilvl w:val="1"/>
          <w:numId w:val="21"/>
        </w:numPr>
        <w:snapToGrid w:val="0"/>
        <w:spacing w:after="120"/>
      </w:pPr>
      <w:r>
        <w:t xml:space="preserve">Investor income is below budget, as an “aspirational” goal was set.  </w:t>
      </w:r>
    </w:p>
    <w:p w14:paraId="2ADD194F" w14:textId="77777777" w:rsidR="00292E57" w:rsidRDefault="00292E57" w:rsidP="006D348A">
      <w:pPr>
        <w:pStyle w:val="ListParagraph"/>
        <w:numPr>
          <w:ilvl w:val="1"/>
          <w:numId w:val="21"/>
        </w:numPr>
        <w:snapToGrid w:val="0"/>
        <w:spacing w:after="120"/>
      </w:pPr>
      <w:r>
        <w:t>Payroll expenses are below budget due to staff vacancies.</w:t>
      </w:r>
    </w:p>
    <w:p w14:paraId="7F20A697" w14:textId="77777777" w:rsidR="00292E57" w:rsidRDefault="00292E57" w:rsidP="006D348A">
      <w:pPr>
        <w:pStyle w:val="ListParagraph"/>
        <w:numPr>
          <w:ilvl w:val="1"/>
          <w:numId w:val="21"/>
        </w:numPr>
        <w:snapToGrid w:val="0"/>
        <w:spacing w:after="120"/>
      </w:pPr>
      <w:r>
        <w:t xml:space="preserve">Outside Services are over budget as contractors are hired to supplement staffing.  </w:t>
      </w:r>
    </w:p>
    <w:p w14:paraId="22A3E638" w14:textId="77777777" w:rsidR="00292E57" w:rsidRDefault="00292E57" w:rsidP="006D348A">
      <w:pPr>
        <w:pStyle w:val="ListParagraph"/>
        <w:numPr>
          <w:ilvl w:val="1"/>
          <w:numId w:val="21"/>
        </w:numPr>
        <w:snapToGrid w:val="0"/>
        <w:spacing w:after="120"/>
      </w:pPr>
      <w:r>
        <w:t>Technology Communications is over budget.  Insufficient monies were allocated</w:t>
      </w:r>
      <w:r w:rsidR="008E7E8B">
        <w:t xml:space="preserve"> in the budget; actual expenses are running close to the costs of prior years.  </w:t>
      </w:r>
    </w:p>
    <w:p w14:paraId="04C3B376" w14:textId="77777777" w:rsidR="00C8445D" w:rsidRDefault="00BD098A" w:rsidP="006D348A">
      <w:pPr>
        <w:pStyle w:val="ListParagraph"/>
        <w:numPr>
          <w:ilvl w:val="0"/>
          <w:numId w:val="21"/>
        </w:numPr>
        <w:snapToGrid w:val="0"/>
      </w:pPr>
      <w:r>
        <w:rPr>
          <w:b/>
          <w:bCs/>
        </w:rPr>
        <w:t>Line Item</w:t>
      </w:r>
      <w:r w:rsidR="00835B4D" w:rsidRPr="00854DF7">
        <w:rPr>
          <w:b/>
          <w:bCs/>
        </w:rPr>
        <w:t xml:space="preserve"> Detail</w:t>
      </w:r>
      <w:r w:rsidR="00835B4D">
        <w:t xml:space="preserve">.  </w:t>
      </w:r>
      <w:r w:rsidR="00CE62B7">
        <w:t>This</w:t>
      </w:r>
      <w:r w:rsidR="00835B4D">
        <w:t xml:space="preserve"> is a longer report and is </w:t>
      </w:r>
      <w:r w:rsidR="00A552BC">
        <w:t>reported separately</w:t>
      </w:r>
      <w:r w:rsidR="00835B4D">
        <w:t xml:space="preserve"> as </w:t>
      </w:r>
      <w:r w:rsidR="00835B4D" w:rsidRPr="005C20FF">
        <w:rPr>
          <w:b/>
          <w:bCs/>
        </w:rPr>
        <w:t>APPENDIX A</w:t>
      </w:r>
      <w:r w:rsidR="00835B4D">
        <w:t xml:space="preserve">.  </w:t>
      </w:r>
      <w:r w:rsidR="00CE62B7">
        <w:t xml:space="preserve">This report provides the reader with </w:t>
      </w:r>
      <w:r w:rsidR="00207A7D">
        <w:t xml:space="preserve">every transaction within each line item on the budget versus actual report.  </w:t>
      </w:r>
    </w:p>
    <w:p w14:paraId="62C8636C" w14:textId="77777777" w:rsidR="00835B4D" w:rsidRDefault="00CE62B7" w:rsidP="006D348A">
      <w:pPr>
        <w:pStyle w:val="ListParagraph"/>
        <w:numPr>
          <w:ilvl w:val="1"/>
          <w:numId w:val="21"/>
        </w:numPr>
        <w:snapToGrid w:val="0"/>
        <w:spacing w:after="60"/>
      </w:pPr>
      <w:r>
        <w:t>Each line item on the Income Statement has a corresponding listing of itemized transactions</w:t>
      </w:r>
      <w:r w:rsidR="00C8445D">
        <w:t xml:space="preserve">.  </w:t>
      </w:r>
      <w:r w:rsidR="004F4958">
        <w:t>The amount for each line item should match the total</w:t>
      </w:r>
      <w:r w:rsidR="00207A7D">
        <w:t xml:space="preserve">.  </w:t>
      </w:r>
    </w:p>
    <w:p w14:paraId="3C9B10DC" w14:textId="77777777" w:rsidR="00C8445D" w:rsidRDefault="004F4958" w:rsidP="006D348A">
      <w:pPr>
        <w:pStyle w:val="ListParagraph"/>
        <w:numPr>
          <w:ilvl w:val="1"/>
          <w:numId w:val="21"/>
        </w:numPr>
        <w:snapToGrid w:val="0"/>
        <w:spacing w:after="60"/>
      </w:pPr>
      <w:r>
        <w:t>Each transaction lists the date, the vendor’s name [or customer name</w:t>
      </w:r>
      <w:r w:rsidR="00F656A0">
        <w:t>, if income</w:t>
      </w:r>
      <w:r>
        <w:t xml:space="preserve">], and the Memo field generally describes the purpose.  </w:t>
      </w:r>
    </w:p>
    <w:p w14:paraId="23E28D9B" w14:textId="77777777" w:rsidR="004F4958" w:rsidRDefault="004F4958" w:rsidP="006D348A">
      <w:pPr>
        <w:pStyle w:val="ListParagraph"/>
        <w:numPr>
          <w:ilvl w:val="2"/>
          <w:numId w:val="21"/>
        </w:numPr>
        <w:snapToGrid w:val="0"/>
        <w:spacing w:after="60"/>
        <w:ind w:left="2174" w:hanging="187"/>
      </w:pPr>
      <w:r>
        <w:t>Transaction Type “</w:t>
      </w:r>
      <w:r w:rsidR="00116FD6">
        <w:t>I</w:t>
      </w:r>
      <w:r>
        <w:t>nvoice”</w:t>
      </w:r>
      <w:r w:rsidR="002E31E9">
        <w:t xml:space="preserve"> </w:t>
      </w:r>
      <w:r w:rsidR="0011583C">
        <w:t xml:space="preserve">is income </w:t>
      </w:r>
      <w:r w:rsidR="002E31E9">
        <w:t xml:space="preserve">which has been </w:t>
      </w:r>
      <w:r w:rsidR="0011583C">
        <w:t xml:space="preserve">billed but not </w:t>
      </w:r>
      <w:r w:rsidR="002E31E9">
        <w:t xml:space="preserve">received.  </w:t>
      </w:r>
    </w:p>
    <w:p w14:paraId="455F4A4D" w14:textId="77777777" w:rsidR="00116FD6" w:rsidRDefault="00116FD6" w:rsidP="006D348A">
      <w:pPr>
        <w:pStyle w:val="ListParagraph"/>
        <w:numPr>
          <w:ilvl w:val="2"/>
          <w:numId w:val="21"/>
        </w:numPr>
        <w:snapToGrid w:val="0"/>
        <w:spacing w:after="60"/>
        <w:ind w:left="2174" w:hanging="187"/>
      </w:pPr>
      <w:r>
        <w:t xml:space="preserve">Transaction Type “Deposit” is actual income.  </w:t>
      </w:r>
    </w:p>
    <w:p w14:paraId="73B24163" w14:textId="77777777" w:rsidR="004F4958" w:rsidRDefault="004F4958" w:rsidP="006D348A">
      <w:pPr>
        <w:pStyle w:val="ListParagraph"/>
        <w:numPr>
          <w:ilvl w:val="2"/>
          <w:numId w:val="21"/>
        </w:numPr>
        <w:snapToGrid w:val="0"/>
        <w:spacing w:after="60"/>
        <w:ind w:left="2174" w:hanging="187"/>
      </w:pPr>
      <w:r>
        <w:t>Transaction Type “</w:t>
      </w:r>
      <w:r w:rsidR="00116FD6">
        <w:t>C</w:t>
      </w:r>
      <w:r>
        <w:t xml:space="preserve">heck” </w:t>
      </w:r>
      <w:r w:rsidR="002E31E9">
        <w:t>is a purchase paid by check</w:t>
      </w:r>
      <w:r>
        <w:t>.</w:t>
      </w:r>
      <w:r w:rsidR="002E31E9">
        <w:t xml:space="preserve"> </w:t>
      </w:r>
    </w:p>
    <w:p w14:paraId="188375DE" w14:textId="77777777" w:rsidR="004F4958" w:rsidRDefault="004F4958" w:rsidP="006D348A">
      <w:pPr>
        <w:pStyle w:val="ListParagraph"/>
        <w:numPr>
          <w:ilvl w:val="2"/>
          <w:numId w:val="21"/>
        </w:numPr>
        <w:snapToGrid w:val="0"/>
        <w:spacing w:after="60"/>
        <w:ind w:left="2174" w:hanging="187"/>
      </w:pPr>
      <w:r>
        <w:t>Transaction Type “</w:t>
      </w:r>
      <w:r w:rsidR="00116FD6">
        <w:t>E</w:t>
      </w:r>
      <w:r>
        <w:t xml:space="preserve">xpense” </w:t>
      </w:r>
      <w:r w:rsidR="002E31E9">
        <w:t>is a purchase</w:t>
      </w:r>
      <w:r>
        <w:t xml:space="preserve"> paid by debit card. These will require attention in the future to better describe the </w:t>
      </w:r>
      <w:r w:rsidR="00116FD6">
        <w:t>specific</w:t>
      </w:r>
      <w:r>
        <w:t xml:space="preserve"> purpose</w:t>
      </w:r>
      <w:r w:rsidR="002E31E9">
        <w:t xml:space="preserve">, rather than just the debit transaction information.  </w:t>
      </w:r>
    </w:p>
    <w:p w14:paraId="064D85B7" w14:textId="77777777" w:rsidR="002E31E9" w:rsidRDefault="002E31E9" w:rsidP="005C20FF">
      <w:pPr>
        <w:pStyle w:val="ListParagraph"/>
        <w:numPr>
          <w:ilvl w:val="2"/>
          <w:numId w:val="21"/>
        </w:numPr>
        <w:spacing w:after="60"/>
        <w:ind w:left="2174" w:hanging="187"/>
      </w:pPr>
      <w:r>
        <w:t>Transaction Type “</w:t>
      </w:r>
      <w:r w:rsidR="00116FD6">
        <w:t>J</w:t>
      </w:r>
      <w:r>
        <w:t xml:space="preserve">ournal entry” is posted </w:t>
      </w:r>
      <w:r w:rsidR="00207A7D">
        <w:t>to reclassify certain transaction</w:t>
      </w:r>
      <w:r>
        <w:t xml:space="preserve">.  </w:t>
      </w:r>
    </w:p>
    <w:p w14:paraId="670F7C91" w14:textId="77777777" w:rsidR="00D12238" w:rsidRDefault="00D12238" w:rsidP="005C20FF">
      <w:pPr>
        <w:jc w:val="center"/>
      </w:pPr>
    </w:p>
    <w:p w14:paraId="582AC4A1" w14:textId="77777777" w:rsidR="00D12238" w:rsidRDefault="00D12238" w:rsidP="00D12238"/>
    <w:p w14:paraId="7BC63B49" w14:textId="77777777" w:rsidR="00177F63" w:rsidRDefault="0027312A" w:rsidP="005C20FF">
      <w:pPr>
        <w:jc w:val="center"/>
      </w:pPr>
      <w:r>
        <w:t>[Financial reports follow</w:t>
      </w:r>
      <w:r w:rsidR="005C20FF">
        <w:t>]</w:t>
      </w:r>
      <w:r w:rsidR="00177F63">
        <w:br w:type="page"/>
      </w:r>
    </w:p>
    <w:p w14:paraId="7EDD67D0" w14:textId="77777777" w:rsidR="00BF163B" w:rsidRDefault="00A63A7D" w:rsidP="00A63A7D">
      <w:r>
        <w:rPr>
          <w:noProof/>
        </w:rPr>
        <w:lastRenderedPageBreak/>
        <w:drawing>
          <wp:inline distT="0" distB="0" distL="0" distR="0" wp14:anchorId="2CA9B00D" wp14:editId="04D3B5C0">
            <wp:extent cx="6397554" cy="8282185"/>
            <wp:effectExtent l="0" t="0" r="0" b="0"/>
            <wp:docPr id="22565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8360" name="Picture 1"/>
                    <pic:cNvPicPr/>
                  </pic:nvPicPr>
                  <pic:blipFill>
                    <a:blip r:embed="rId11"/>
                    <a:stretch>
                      <a:fillRect/>
                    </a:stretch>
                  </pic:blipFill>
                  <pic:spPr>
                    <a:xfrm>
                      <a:off x="0" y="0"/>
                      <a:ext cx="6397554" cy="8282185"/>
                    </a:xfrm>
                    <a:prstGeom prst="rect">
                      <a:avLst/>
                    </a:prstGeom>
                  </pic:spPr>
                </pic:pic>
              </a:graphicData>
            </a:graphic>
          </wp:inline>
        </w:drawing>
      </w:r>
      <w:r>
        <w:rPr>
          <w:noProof/>
        </w:rPr>
        <w:lastRenderedPageBreak/>
        <w:drawing>
          <wp:inline distT="0" distB="0" distL="0" distR="0" wp14:anchorId="48F02941" wp14:editId="406B8209">
            <wp:extent cx="6400799" cy="8283388"/>
            <wp:effectExtent l="0" t="0" r="0" b="0"/>
            <wp:docPr id="1825902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02307" name="Picture 2"/>
                    <pic:cNvPicPr/>
                  </pic:nvPicPr>
                  <pic:blipFill>
                    <a:blip r:embed="rId12"/>
                    <a:stretch>
                      <a:fillRect/>
                    </a:stretch>
                  </pic:blipFill>
                  <pic:spPr>
                    <a:xfrm>
                      <a:off x="0" y="0"/>
                      <a:ext cx="6400799" cy="8283388"/>
                    </a:xfrm>
                    <a:prstGeom prst="rect">
                      <a:avLst/>
                    </a:prstGeom>
                  </pic:spPr>
                </pic:pic>
              </a:graphicData>
            </a:graphic>
          </wp:inline>
        </w:drawing>
      </w:r>
    </w:p>
    <w:p w14:paraId="0EE47FFD" w14:textId="77777777" w:rsidR="004B34D4" w:rsidRPr="002F7391" w:rsidRDefault="004B34D4" w:rsidP="004B34D4">
      <w:pPr>
        <w:jc w:val="center"/>
        <w:rPr>
          <w:b/>
          <w:bCs/>
        </w:rPr>
      </w:pPr>
      <w:r w:rsidRPr="002F7391">
        <w:rPr>
          <w:b/>
          <w:bCs/>
        </w:rPr>
        <w:t>End of Report – APPENDIX A Follows</w:t>
      </w:r>
    </w:p>
    <w:sectPr w:rsidR="004B34D4" w:rsidRPr="002F7391" w:rsidSect="00CD60FC">
      <w:footerReference w:type="even" r:id="rId13"/>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F93D" w14:textId="77777777" w:rsidR="005140E0" w:rsidRDefault="005140E0" w:rsidP="002F7766">
      <w:r>
        <w:separator/>
      </w:r>
    </w:p>
  </w:endnote>
  <w:endnote w:type="continuationSeparator" w:id="0">
    <w:p w14:paraId="789D81CB" w14:textId="77777777" w:rsidR="005140E0" w:rsidRDefault="005140E0" w:rsidP="002F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1907937"/>
      <w:docPartObj>
        <w:docPartGallery w:val="Page Numbers (Bottom of Page)"/>
        <w:docPartUnique/>
      </w:docPartObj>
    </w:sdtPr>
    <w:sdtContent>
      <w:p w14:paraId="0421EF52" w14:textId="77777777" w:rsidR="00A110C6" w:rsidRDefault="00A110C6" w:rsidP="00DA53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6D357" w14:textId="77777777" w:rsidR="00A110C6" w:rsidRDefault="00A11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3BC9" w14:textId="77777777" w:rsidR="00A110C6" w:rsidRDefault="00845497" w:rsidP="00A110C6">
    <w:pPr>
      <w:pStyle w:val="Footer"/>
      <w:jc w:val="center"/>
      <w:rPr>
        <w:rStyle w:val="PageNumber"/>
        <w:rFonts w:cstheme="minorHAnsi"/>
        <w:kern w:val="0"/>
      </w:rPr>
    </w:pPr>
    <w:r>
      <w:rPr>
        <w:rStyle w:val="PageNumber"/>
        <w:rFonts w:cstheme="minorHAnsi"/>
        <w:kern w:val="0"/>
      </w:rPr>
      <w:t xml:space="preserve">Business Development Board </w:t>
    </w:r>
    <w:r w:rsidR="00A110C6">
      <w:rPr>
        <w:rStyle w:val="PageNumber"/>
        <w:rFonts w:cstheme="minorHAnsi"/>
        <w:kern w:val="0"/>
      </w:rPr>
      <w:t>Quarterly Report</w:t>
    </w:r>
    <w:r w:rsidR="00664776">
      <w:rPr>
        <w:rStyle w:val="PageNumber"/>
        <w:rFonts w:cstheme="minorHAnsi"/>
        <w:kern w:val="0"/>
      </w:rPr>
      <w:t xml:space="preserve"> </w:t>
    </w:r>
    <w:r w:rsidR="00A110C6">
      <w:rPr>
        <w:rStyle w:val="PageNumber"/>
        <w:rFonts w:cstheme="minorHAnsi"/>
        <w:kern w:val="0"/>
      </w:rPr>
      <w:t xml:space="preserve">– </w:t>
    </w:r>
    <w:r w:rsidR="002F7391">
      <w:rPr>
        <w:rStyle w:val="PageNumber"/>
        <w:rFonts w:cstheme="minorHAnsi"/>
        <w:kern w:val="0"/>
      </w:rPr>
      <w:t>Summer</w:t>
    </w:r>
    <w:r w:rsidR="00A110C6">
      <w:rPr>
        <w:rStyle w:val="PageNumber"/>
        <w:rFonts w:cstheme="minorHAnsi"/>
        <w:kern w:val="0"/>
      </w:rPr>
      <w:t xml:space="preserve"> 202</w:t>
    </w:r>
    <w:r w:rsidR="00B23F29">
      <w:rPr>
        <w:rStyle w:val="PageNumber"/>
        <w:rFonts w:cstheme="minorHAnsi"/>
        <w:kern w:val="0"/>
      </w:rPr>
      <w:t>4</w:t>
    </w:r>
  </w:p>
  <w:p w14:paraId="40A9453E" w14:textId="77777777" w:rsidR="00A110C6" w:rsidRPr="00A110C6" w:rsidRDefault="00A110C6" w:rsidP="00A110C6">
    <w:pPr>
      <w:pStyle w:val="Footer"/>
      <w:jc w:val="center"/>
      <w:rPr>
        <w:rFonts w:cstheme="minorHAnsi"/>
      </w:rPr>
    </w:pPr>
    <w:r w:rsidRPr="00A110C6">
      <w:rPr>
        <w:rStyle w:val="PageNumber"/>
        <w:rFonts w:cstheme="minorHAnsi"/>
        <w:kern w:val="0"/>
      </w:rPr>
      <w:t xml:space="preserve">Page </w:t>
    </w:r>
    <w:r w:rsidRPr="00A110C6">
      <w:rPr>
        <w:rStyle w:val="PageNumber"/>
        <w:rFonts w:cstheme="minorHAnsi"/>
        <w:kern w:val="0"/>
      </w:rPr>
      <w:fldChar w:fldCharType="begin"/>
    </w:r>
    <w:r w:rsidRPr="00A110C6">
      <w:rPr>
        <w:rStyle w:val="PageNumber"/>
        <w:rFonts w:cstheme="minorHAnsi"/>
        <w:kern w:val="0"/>
      </w:rPr>
      <w:instrText xml:space="preserve"> PAGE </w:instrText>
    </w:r>
    <w:r w:rsidRPr="00A110C6">
      <w:rPr>
        <w:rStyle w:val="PageNumber"/>
        <w:rFonts w:cstheme="minorHAnsi"/>
        <w:kern w:val="0"/>
      </w:rPr>
      <w:fldChar w:fldCharType="separate"/>
    </w:r>
    <w:r w:rsidRPr="00A110C6">
      <w:rPr>
        <w:rStyle w:val="PageNumber"/>
        <w:rFonts w:cstheme="minorHAnsi"/>
        <w:noProof/>
        <w:kern w:val="0"/>
      </w:rPr>
      <w:t>1</w:t>
    </w:r>
    <w:r w:rsidRPr="00A110C6">
      <w:rPr>
        <w:rStyle w:val="PageNumber"/>
        <w:rFonts w:cstheme="minorHAnsi"/>
        <w:kern w:val="0"/>
      </w:rPr>
      <w:fldChar w:fldCharType="end"/>
    </w:r>
    <w:r w:rsidRPr="00A110C6">
      <w:rPr>
        <w:rStyle w:val="PageNumber"/>
        <w:rFonts w:cstheme="minorHAnsi"/>
        <w:kern w:val="0"/>
      </w:rPr>
      <w:t xml:space="preserve"> of </w:t>
    </w:r>
    <w:r w:rsidRPr="00A110C6">
      <w:rPr>
        <w:rStyle w:val="PageNumber"/>
        <w:rFonts w:cstheme="minorHAnsi"/>
        <w:kern w:val="0"/>
      </w:rPr>
      <w:fldChar w:fldCharType="begin"/>
    </w:r>
    <w:r w:rsidRPr="00A110C6">
      <w:rPr>
        <w:rStyle w:val="PageNumber"/>
        <w:rFonts w:cstheme="minorHAnsi"/>
        <w:kern w:val="0"/>
      </w:rPr>
      <w:instrText xml:space="preserve"> NUMPAGES </w:instrText>
    </w:r>
    <w:r w:rsidRPr="00A110C6">
      <w:rPr>
        <w:rStyle w:val="PageNumber"/>
        <w:rFonts w:cstheme="minorHAnsi"/>
        <w:kern w:val="0"/>
      </w:rPr>
      <w:fldChar w:fldCharType="separate"/>
    </w:r>
    <w:r w:rsidRPr="00A110C6">
      <w:rPr>
        <w:rStyle w:val="PageNumber"/>
        <w:rFonts w:cstheme="minorHAnsi"/>
        <w:noProof/>
        <w:kern w:val="0"/>
      </w:rPr>
      <w:t>9</w:t>
    </w:r>
    <w:r w:rsidRPr="00A110C6">
      <w:rPr>
        <w:rStyle w:val="PageNumber"/>
        <w:rFonts w:cstheme="minorHAnsi"/>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F1D3" w14:textId="77777777" w:rsidR="005140E0" w:rsidRDefault="005140E0" w:rsidP="002F7766">
      <w:r>
        <w:separator/>
      </w:r>
    </w:p>
  </w:footnote>
  <w:footnote w:type="continuationSeparator" w:id="0">
    <w:p w14:paraId="607CE1AC" w14:textId="77777777" w:rsidR="005140E0" w:rsidRDefault="005140E0" w:rsidP="002F7766">
      <w:r>
        <w:continuationSeparator/>
      </w:r>
    </w:p>
  </w:footnote>
  <w:footnote w:id="1">
    <w:p w14:paraId="693B6537" w14:textId="77777777" w:rsidR="00A552BC" w:rsidRDefault="00A552BC">
      <w:pPr>
        <w:pStyle w:val="FootnoteText"/>
      </w:pPr>
      <w:r>
        <w:rPr>
          <w:rStyle w:val="FootnoteReference"/>
        </w:rPr>
        <w:footnoteRef/>
      </w:r>
      <w:r>
        <w:t xml:space="preserve"> For example, zero-dollar line items which serve no purpose are removed; amounts are rounded to full dollars; conventional accounting practice is used, placing negative numbers in parentheses; and interest earning are reclassified to ordinary income eliminating unusual calculations.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185A"/>
    <w:multiLevelType w:val="hybridMultilevel"/>
    <w:tmpl w:val="51F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D69CA"/>
    <w:multiLevelType w:val="hybridMultilevel"/>
    <w:tmpl w:val="57C6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9C7"/>
    <w:multiLevelType w:val="hybridMultilevel"/>
    <w:tmpl w:val="D26AA4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B2069"/>
    <w:multiLevelType w:val="multilevel"/>
    <w:tmpl w:val="7F66EC3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E63F60"/>
    <w:multiLevelType w:val="hybridMultilevel"/>
    <w:tmpl w:val="D1228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76C9B"/>
    <w:multiLevelType w:val="hybridMultilevel"/>
    <w:tmpl w:val="93B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63A1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27D5BCC"/>
    <w:multiLevelType w:val="multilevel"/>
    <w:tmpl w:val="7F66EC3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90480"/>
    <w:multiLevelType w:val="hybridMultilevel"/>
    <w:tmpl w:val="59C6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413"/>
    <w:multiLevelType w:val="hybridMultilevel"/>
    <w:tmpl w:val="44B2C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D52D1"/>
    <w:multiLevelType w:val="hybridMultilevel"/>
    <w:tmpl w:val="E788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63876"/>
    <w:multiLevelType w:val="hybridMultilevel"/>
    <w:tmpl w:val="7F6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65FAA"/>
    <w:multiLevelType w:val="hybridMultilevel"/>
    <w:tmpl w:val="8CA28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C13C6"/>
    <w:multiLevelType w:val="hybridMultilevel"/>
    <w:tmpl w:val="FC004264"/>
    <w:lvl w:ilvl="0" w:tplc="5D88A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71AC"/>
    <w:multiLevelType w:val="hybridMultilevel"/>
    <w:tmpl w:val="327A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B306A"/>
    <w:multiLevelType w:val="hybridMultilevel"/>
    <w:tmpl w:val="322E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2581"/>
    <w:multiLevelType w:val="multilevel"/>
    <w:tmpl w:val="7F66EC3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694013"/>
    <w:multiLevelType w:val="hybridMultilevel"/>
    <w:tmpl w:val="2ADC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B4AD2"/>
    <w:multiLevelType w:val="hybridMultilevel"/>
    <w:tmpl w:val="22322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25CE"/>
    <w:multiLevelType w:val="hybridMultilevel"/>
    <w:tmpl w:val="91165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E2F3D"/>
    <w:multiLevelType w:val="hybridMultilevel"/>
    <w:tmpl w:val="DEF60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72C5E"/>
    <w:multiLevelType w:val="hybridMultilevel"/>
    <w:tmpl w:val="FE0A4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A412D"/>
    <w:multiLevelType w:val="hybridMultilevel"/>
    <w:tmpl w:val="59C8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03D67"/>
    <w:multiLevelType w:val="hybridMultilevel"/>
    <w:tmpl w:val="D6921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837"/>
    <w:multiLevelType w:val="hybridMultilevel"/>
    <w:tmpl w:val="A830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3123"/>
    <w:multiLevelType w:val="hybridMultilevel"/>
    <w:tmpl w:val="6BC6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E69ED"/>
    <w:multiLevelType w:val="hybridMultilevel"/>
    <w:tmpl w:val="0C6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805EB"/>
    <w:multiLevelType w:val="hybridMultilevel"/>
    <w:tmpl w:val="8F369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26139"/>
    <w:multiLevelType w:val="hybridMultilevel"/>
    <w:tmpl w:val="3E66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15120"/>
    <w:multiLevelType w:val="hybridMultilevel"/>
    <w:tmpl w:val="1BDA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33DB6"/>
    <w:multiLevelType w:val="hybridMultilevel"/>
    <w:tmpl w:val="BB842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5170"/>
    <w:multiLevelType w:val="hybridMultilevel"/>
    <w:tmpl w:val="D8E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835EB"/>
    <w:multiLevelType w:val="hybridMultilevel"/>
    <w:tmpl w:val="5D12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153613">
    <w:abstractNumId w:val="23"/>
  </w:num>
  <w:num w:numId="2" w16cid:durableId="1368988244">
    <w:abstractNumId w:val="12"/>
  </w:num>
  <w:num w:numId="3" w16cid:durableId="1320302354">
    <w:abstractNumId w:val="21"/>
  </w:num>
  <w:num w:numId="4" w16cid:durableId="1660305117">
    <w:abstractNumId w:val="27"/>
  </w:num>
  <w:num w:numId="5" w16cid:durableId="1204950868">
    <w:abstractNumId w:val="6"/>
  </w:num>
  <w:num w:numId="6" w16cid:durableId="162478296">
    <w:abstractNumId w:val="20"/>
  </w:num>
  <w:num w:numId="7" w16cid:durableId="1230578610">
    <w:abstractNumId w:val="9"/>
  </w:num>
  <w:num w:numId="8" w16cid:durableId="1351951538">
    <w:abstractNumId w:val="4"/>
  </w:num>
  <w:num w:numId="9" w16cid:durableId="1299994249">
    <w:abstractNumId w:val="17"/>
  </w:num>
  <w:num w:numId="10" w16cid:durableId="415126645">
    <w:abstractNumId w:val="14"/>
  </w:num>
  <w:num w:numId="11" w16cid:durableId="322588579">
    <w:abstractNumId w:val="28"/>
  </w:num>
  <w:num w:numId="12" w16cid:durableId="1445274004">
    <w:abstractNumId w:val="18"/>
  </w:num>
  <w:num w:numId="13" w16cid:durableId="1831174141">
    <w:abstractNumId w:val="22"/>
  </w:num>
  <w:num w:numId="14" w16cid:durableId="1290668109">
    <w:abstractNumId w:val="10"/>
  </w:num>
  <w:num w:numId="15" w16cid:durableId="1971131544">
    <w:abstractNumId w:val="11"/>
  </w:num>
  <w:num w:numId="16" w16cid:durableId="102655007">
    <w:abstractNumId w:val="3"/>
  </w:num>
  <w:num w:numId="17" w16cid:durableId="235363060">
    <w:abstractNumId w:val="16"/>
  </w:num>
  <w:num w:numId="18" w16cid:durableId="1592356388">
    <w:abstractNumId w:val="7"/>
  </w:num>
  <w:num w:numId="19" w16cid:durableId="591427916">
    <w:abstractNumId w:val="13"/>
  </w:num>
  <w:num w:numId="20" w16cid:durableId="68770080">
    <w:abstractNumId w:val="2"/>
  </w:num>
  <w:num w:numId="21" w16cid:durableId="2140877619">
    <w:abstractNumId w:val="30"/>
  </w:num>
  <w:num w:numId="22" w16cid:durableId="1125582912">
    <w:abstractNumId w:val="0"/>
  </w:num>
  <w:num w:numId="23" w16cid:durableId="1568148516">
    <w:abstractNumId w:val="31"/>
  </w:num>
  <w:num w:numId="24" w16cid:durableId="865412849">
    <w:abstractNumId w:val="8"/>
  </w:num>
  <w:num w:numId="25" w16cid:durableId="38434486">
    <w:abstractNumId w:val="25"/>
  </w:num>
  <w:num w:numId="26" w16cid:durableId="960112228">
    <w:abstractNumId w:val="1"/>
  </w:num>
  <w:num w:numId="27" w16cid:durableId="1927416451">
    <w:abstractNumId w:val="24"/>
  </w:num>
  <w:num w:numId="28" w16cid:durableId="1082139111">
    <w:abstractNumId w:val="19"/>
  </w:num>
  <w:num w:numId="29" w16cid:durableId="1374648697">
    <w:abstractNumId w:val="32"/>
  </w:num>
  <w:num w:numId="30" w16cid:durableId="341050821">
    <w:abstractNumId w:val="5"/>
  </w:num>
  <w:num w:numId="31" w16cid:durableId="473370716">
    <w:abstractNumId w:val="15"/>
  </w:num>
  <w:num w:numId="32" w16cid:durableId="1538541871">
    <w:abstractNumId w:val="26"/>
  </w:num>
  <w:num w:numId="33" w16cid:durableId="11851667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4"/>
    <w:rsid w:val="00005A64"/>
    <w:rsid w:val="00006214"/>
    <w:rsid w:val="00014A7B"/>
    <w:rsid w:val="00023F0B"/>
    <w:rsid w:val="00026D0B"/>
    <w:rsid w:val="0003386F"/>
    <w:rsid w:val="00036770"/>
    <w:rsid w:val="00043EA8"/>
    <w:rsid w:val="000460F8"/>
    <w:rsid w:val="00052A82"/>
    <w:rsid w:val="000662C8"/>
    <w:rsid w:val="000730E3"/>
    <w:rsid w:val="00083A5C"/>
    <w:rsid w:val="00095F6D"/>
    <w:rsid w:val="000B0CA1"/>
    <w:rsid w:val="000B3C99"/>
    <w:rsid w:val="000B7409"/>
    <w:rsid w:val="000C2156"/>
    <w:rsid w:val="000C483C"/>
    <w:rsid w:val="000C7369"/>
    <w:rsid w:val="000E6920"/>
    <w:rsid w:val="000F0469"/>
    <w:rsid w:val="000F2AF9"/>
    <w:rsid w:val="000F52EE"/>
    <w:rsid w:val="001021F7"/>
    <w:rsid w:val="00107ED4"/>
    <w:rsid w:val="0011583C"/>
    <w:rsid w:val="00116FD6"/>
    <w:rsid w:val="00122D4D"/>
    <w:rsid w:val="001311D9"/>
    <w:rsid w:val="001516AA"/>
    <w:rsid w:val="00157EC7"/>
    <w:rsid w:val="00166CF8"/>
    <w:rsid w:val="0017544B"/>
    <w:rsid w:val="001768EE"/>
    <w:rsid w:val="00177F63"/>
    <w:rsid w:val="0018468E"/>
    <w:rsid w:val="0019123F"/>
    <w:rsid w:val="001935FA"/>
    <w:rsid w:val="001A0FF2"/>
    <w:rsid w:val="001A5A5E"/>
    <w:rsid w:val="001A6737"/>
    <w:rsid w:val="001B4715"/>
    <w:rsid w:val="001C593D"/>
    <w:rsid w:val="00205411"/>
    <w:rsid w:val="002072E2"/>
    <w:rsid w:val="00207A7D"/>
    <w:rsid w:val="00210E3F"/>
    <w:rsid w:val="00216CD8"/>
    <w:rsid w:val="0022372F"/>
    <w:rsid w:val="002273BA"/>
    <w:rsid w:val="002316DD"/>
    <w:rsid w:val="00240EC3"/>
    <w:rsid w:val="0027312A"/>
    <w:rsid w:val="00274DD8"/>
    <w:rsid w:val="002830A0"/>
    <w:rsid w:val="00284E22"/>
    <w:rsid w:val="002908E0"/>
    <w:rsid w:val="0029273C"/>
    <w:rsid w:val="00292E57"/>
    <w:rsid w:val="00294550"/>
    <w:rsid w:val="002A1CED"/>
    <w:rsid w:val="002A3FC3"/>
    <w:rsid w:val="002A5BA3"/>
    <w:rsid w:val="002B201B"/>
    <w:rsid w:val="002B6E25"/>
    <w:rsid w:val="002C2F8A"/>
    <w:rsid w:val="002D1ADE"/>
    <w:rsid w:val="002E31E9"/>
    <w:rsid w:val="002E7208"/>
    <w:rsid w:val="002E74E1"/>
    <w:rsid w:val="002F08F3"/>
    <w:rsid w:val="002F24C2"/>
    <w:rsid w:val="002F30D1"/>
    <w:rsid w:val="002F7391"/>
    <w:rsid w:val="002F7766"/>
    <w:rsid w:val="00315C8F"/>
    <w:rsid w:val="0032645B"/>
    <w:rsid w:val="003315A1"/>
    <w:rsid w:val="003353AF"/>
    <w:rsid w:val="00335862"/>
    <w:rsid w:val="003447B8"/>
    <w:rsid w:val="00350C51"/>
    <w:rsid w:val="00363344"/>
    <w:rsid w:val="00371D4D"/>
    <w:rsid w:val="00377ECD"/>
    <w:rsid w:val="003959C5"/>
    <w:rsid w:val="003A1CF7"/>
    <w:rsid w:val="003A39A3"/>
    <w:rsid w:val="003A76E4"/>
    <w:rsid w:val="003B70BB"/>
    <w:rsid w:val="003C14F4"/>
    <w:rsid w:val="003D44FD"/>
    <w:rsid w:val="003E5542"/>
    <w:rsid w:val="003E6D2A"/>
    <w:rsid w:val="003F1DC3"/>
    <w:rsid w:val="0040157F"/>
    <w:rsid w:val="00412828"/>
    <w:rsid w:val="00413E0E"/>
    <w:rsid w:val="0043136B"/>
    <w:rsid w:val="00431F4D"/>
    <w:rsid w:val="0044788F"/>
    <w:rsid w:val="0045478C"/>
    <w:rsid w:val="004675BC"/>
    <w:rsid w:val="00475E62"/>
    <w:rsid w:val="0048007C"/>
    <w:rsid w:val="004817D7"/>
    <w:rsid w:val="00486CE9"/>
    <w:rsid w:val="00490772"/>
    <w:rsid w:val="004A102B"/>
    <w:rsid w:val="004A5EE7"/>
    <w:rsid w:val="004B27CF"/>
    <w:rsid w:val="004B34D4"/>
    <w:rsid w:val="004C453B"/>
    <w:rsid w:val="004C78D7"/>
    <w:rsid w:val="004E579B"/>
    <w:rsid w:val="004F4958"/>
    <w:rsid w:val="004F6412"/>
    <w:rsid w:val="005077ED"/>
    <w:rsid w:val="005140E0"/>
    <w:rsid w:val="00521346"/>
    <w:rsid w:val="005267AA"/>
    <w:rsid w:val="00546F0D"/>
    <w:rsid w:val="00547CA3"/>
    <w:rsid w:val="00550DDC"/>
    <w:rsid w:val="005540C0"/>
    <w:rsid w:val="00554D2E"/>
    <w:rsid w:val="00555972"/>
    <w:rsid w:val="00562D52"/>
    <w:rsid w:val="00566FD3"/>
    <w:rsid w:val="005920B2"/>
    <w:rsid w:val="005C1F15"/>
    <w:rsid w:val="005C20FF"/>
    <w:rsid w:val="005C4B62"/>
    <w:rsid w:val="005C601A"/>
    <w:rsid w:val="005D0381"/>
    <w:rsid w:val="005D65B6"/>
    <w:rsid w:val="005F1CAB"/>
    <w:rsid w:val="0060476D"/>
    <w:rsid w:val="006053E3"/>
    <w:rsid w:val="00607039"/>
    <w:rsid w:val="00613BDD"/>
    <w:rsid w:val="00615ED9"/>
    <w:rsid w:val="00616E79"/>
    <w:rsid w:val="00661C41"/>
    <w:rsid w:val="00663547"/>
    <w:rsid w:val="00664776"/>
    <w:rsid w:val="00675799"/>
    <w:rsid w:val="00677DCD"/>
    <w:rsid w:val="0068348B"/>
    <w:rsid w:val="006A0DF1"/>
    <w:rsid w:val="006B2DAE"/>
    <w:rsid w:val="006C3A21"/>
    <w:rsid w:val="006D348A"/>
    <w:rsid w:val="006D68FD"/>
    <w:rsid w:val="006E2904"/>
    <w:rsid w:val="006F128C"/>
    <w:rsid w:val="006F2AA9"/>
    <w:rsid w:val="007047D4"/>
    <w:rsid w:val="00717B92"/>
    <w:rsid w:val="007240A7"/>
    <w:rsid w:val="00755A8B"/>
    <w:rsid w:val="007566EA"/>
    <w:rsid w:val="00764031"/>
    <w:rsid w:val="00771736"/>
    <w:rsid w:val="00774DBB"/>
    <w:rsid w:val="00780081"/>
    <w:rsid w:val="0078254B"/>
    <w:rsid w:val="007836D4"/>
    <w:rsid w:val="00792EB7"/>
    <w:rsid w:val="007A082E"/>
    <w:rsid w:val="007A1AA6"/>
    <w:rsid w:val="007A505E"/>
    <w:rsid w:val="007B0321"/>
    <w:rsid w:val="007F2CF3"/>
    <w:rsid w:val="007F42F4"/>
    <w:rsid w:val="007F6FCD"/>
    <w:rsid w:val="00807650"/>
    <w:rsid w:val="00823D25"/>
    <w:rsid w:val="008327E7"/>
    <w:rsid w:val="00835B4D"/>
    <w:rsid w:val="00836CEB"/>
    <w:rsid w:val="00841DB3"/>
    <w:rsid w:val="0084342D"/>
    <w:rsid w:val="00845497"/>
    <w:rsid w:val="00854DF7"/>
    <w:rsid w:val="008575AE"/>
    <w:rsid w:val="00867E1E"/>
    <w:rsid w:val="00896664"/>
    <w:rsid w:val="008B35CA"/>
    <w:rsid w:val="008B697F"/>
    <w:rsid w:val="008C3C4B"/>
    <w:rsid w:val="008E369F"/>
    <w:rsid w:val="008E4C2B"/>
    <w:rsid w:val="008E7E8B"/>
    <w:rsid w:val="008F4818"/>
    <w:rsid w:val="00914D79"/>
    <w:rsid w:val="00916B2D"/>
    <w:rsid w:val="00921853"/>
    <w:rsid w:val="00930418"/>
    <w:rsid w:val="00942772"/>
    <w:rsid w:val="00951C10"/>
    <w:rsid w:val="00957017"/>
    <w:rsid w:val="00964B06"/>
    <w:rsid w:val="00966CC4"/>
    <w:rsid w:val="0098342A"/>
    <w:rsid w:val="009848CB"/>
    <w:rsid w:val="00986EBF"/>
    <w:rsid w:val="0099059D"/>
    <w:rsid w:val="00991E9E"/>
    <w:rsid w:val="009922A7"/>
    <w:rsid w:val="0099240C"/>
    <w:rsid w:val="009A2564"/>
    <w:rsid w:val="009C1937"/>
    <w:rsid w:val="009C4BC9"/>
    <w:rsid w:val="009C58B7"/>
    <w:rsid w:val="009C65B4"/>
    <w:rsid w:val="009F0E34"/>
    <w:rsid w:val="009F4AF6"/>
    <w:rsid w:val="009F7F02"/>
    <w:rsid w:val="00A036A1"/>
    <w:rsid w:val="00A110C6"/>
    <w:rsid w:val="00A274AE"/>
    <w:rsid w:val="00A2767E"/>
    <w:rsid w:val="00A3343B"/>
    <w:rsid w:val="00A42614"/>
    <w:rsid w:val="00A54866"/>
    <w:rsid w:val="00A552BC"/>
    <w:rsid w:val="00A63A7D"/>
    <w:rsid w:val="00A746BB"/>
    <w:rsid w:val="00A769D3"/>
    <w:rsid w:val="00A76BB1"/>
    <w:rsid w:val="00A77743"/>
    <w:rsid w:val="00A90F5A"/>
    <w:rsid w:val="00AC0061"/>
    <w:rsid w:val="00AC0467"/>
    <w:rsid w:val="00AC212B"/>
    <w:rsid w:val="00AC3D47"/>
    <w:rsid w:val="00AD114E"/>
    <w:rsid w:val="00AE291B"/>
    <w:rsid w:val="00AE69F9"/>
    <w:rsid w:val="00AE7020"/>
    <w:rsid w:val="00AF2A34"/>
    <w:rsid w:val="00AF7F02"/>
    <w:rsid w:val="00B00F11"/>
    <w:rsid w:val="00B15EA6"/>
    <w:rsid w:val="00B23F29"/>
    <w:rsid w:val="00B30D58"/>
    <w:rsid w:val="00B322CA"/>
    <w:rsid w:val="00B340DD"/>
    <w:rsid w:val="00B43595"/>
    <w:rsid w:val="00B50560"/>
    <w:rsid w:val="00B51747"/>
    <w:rsid w:val="00B71B55"/>
    <w:rsid w:val="00B72BFA"/>
    <w:rsid w:val="00B80B5A"/>
    <w:rsid w:val="00B92EAF"/>
    <w:rsid w:val="00BA2A60"/>
    <w:rsid w:val="00BA30D6"/>
    <w:rsid w:val="00BB1777"/>
    <w:rsid w:val="00BB5A27"/>
    <w:rsid w:val="00BB6932"/>
    <w:rsid w:val="00BB79EC"/>
    <w:rsid w:val="00BC3B48"/>
    <w:rsid w:val="00BC7061"/>
    <w:rsid w:val="00BD098A"/>
    <w:rsid w:val="00BD60C2"/>
    <w:rsid w:val="00BE142B"/>
    <w:rsid w:val="00BE4F0A"/>
    <w:rsid w:val="00BE5B1E"/>
    <w:rsid w:val="00BF163B"/>
    <w:rsid w:val="00BF6A2E"/>
    <w:rsid w:val="00C06FA0"/>
    <w:rsid w:val="00C1756B"/>
    <w:rsid w:val="00C3031A"/>
    <w:rsid w:val="00C51864"/>
    <w:rsid w:val="00C56CB5"/>
    <w:rsid w:val="00C61694"/>
    <w:rsid w:val="00C81203"/>
    <w:rsid w:val="00C83F9D"/>
    <w:rsid w:val="00C8445D"/>
    <w:rsid w:val="00C875BD"/>
    <w:rsid w:val="00C908C9"/>
    <w:rsid w:val="00C94A99"/>
    <w:rsid w:val="00CA0970"/>
    <w:rsid w:val="00CA35D2"/>
    <w:rsid w:val="00CB6B33"/>
    <w:rsid w:val="00CB7E3F"/>
    <w:rsid w:val="00CC0AC9"/>
    <w:rsid w:val="00CD60FC"/>
    <w:rsid w:val="00CE02AF"/>
    <w:rsid w:val="00CE62B7"/>
    <w:rsid w:val="00CE78CE"/>
    <w:rsid w:val="00CF3A14"/>
    <w:rsid w:val="00D02057"/>
    <w:rsid w:val="00D12238"/>
    <w:rsid w:val="00D14337"/>
    <w:rsid w:val="00D20C9C"/>
    <w:rsid w:val="00D24B37"/>
    <w:rsid w:val="00D26692"/>
    <w:rsid w:val="00D35EAE"/>
    <w:rsid w:val="00D443F3"/>
    <w:rsid w:val="00D51822"/>
    <w:rsid w:val="00D64504"/>
    <w:rsid w:val="00D72486"/>
    <w:rsid w:val="00D8327E"/>
    <w:rsid w:val="00D92067"/>
    <w:rsid w:val="00DA2367"/>
    <w:rsid w:val="00DA3E70"/>
    <w:rsid w:val="00DA5087"/>
    <w:rsid w:val="00DC60B5"/>
    <w:rsid w:val="00DD4F41"/>
    <w:rsid w:val="00DE7E64"/>
    <w:rsid w:val="00DF477F"/>
    <w:rsid w:val="00DF66DE"/>
    <w:rsid w:val="00DF7E6E"/>
    <w:rsid w:val="00E041EC"/>
    <w:rsid w:val="00E16879"/>
    <w:rsid w:val="00E20690"/>
    <w:rsid w:val="00E2619A"/>
    <w:rsid w:val="00E2758B"/>
    <w:rsid w:val="00E30201"/>
    <w:rsid w:val="00E52AC4"/>
    <w:rsid w:val="00E55FE2"/>
    <w:rsid w:val="00E87EA3"/>
    <w:rsid w:val="00E92655"/>
    <w:rsid w:val="00EA2714"/>
    <w:rsid w:val="00EE78CA"/>
    <w:rsid w:val="00EF041B"/>
    <w:rsid w:val="00EF0B04"/>
    <w:rsid w:val="00EF48B8"/>
    <w:rsid w:val="00F0675A"/>
    <w:rsid w:val="00F06F96"/>
    <w:rsid w:val="00F51F73"/>
    <w:rsid w:val="00F60AEF"/>
    <w:rsid w:val="00F6179D"/>
    <w:rsid w:val="00F656A0"/>
    <w:rsid w:val="00F74BBF"/>
    <w:rsid w:val="00FA2CF9"/>
    <w:rsid w:val="00FB19C3"/>
    <w:rsid w:val="00FB709F"/>
    <w:rsid w:val="00FC2DE0"/>
    <w:rsid w:val="00FE15DB"/>
    <w:rsid w:val="00FE7D94"/>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F927"/>
  <w15:chartTrackingRefBased/>
  <w15:docId w15:val="{727595D4-0E4A-944B-BCDD-7CDE452C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1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44"/>
    <w:pPr>
      <w:ind w:left="720"/>
      <w:contextualSpacing/>
    </w:pPr>
  </w:style>
  <w:style w:type="paragraph" w:styleId="FootnoteText">
    <w:name w:val="footnote text"/>
    <w:basedOn w:val="Normal"/>
    <w:link w:val="FootnoteTextChar"/>
    <w:uiPriority w:val="99"/>
    <w:semiHidden/>
    <w:unhideWhenUsed/>
    <w:rsid w:val="002F7766"/>
    <w:rPr>
      <w:sz w:val="20"/>
      <w:szCs w:val="20"/>
    </w:rPr>
  </w:style>
  <w:style w:type="character" w:customStyle="1" w:styleId="FootnoteTextChar">
    <w:name w:val="Footnote Text Char"/>
    <w:basedOn w:val="DefaultParagraphFont"/>
    <w:link w:val="FootnoteText"/>
    <w:uiPriority w:val="99"/>
    <w:semiHidden/>
    <w:rsid w:val="002F7766"/>
    <w:rPr>
      <w:sz w:val="20"/>
      <w:szCs w:val="20"/>
    </w:rPr>
  </w:style>
  <w:style w:type="character" w:styleId="FootnoteReference">
    <w:name w:val="footnote reference"/>
    <w:basedOn w:val="DefaultParagraphFont"/>
    <w:uiPriority w:val="99"/>
    <w:semiHidden/>
    <w:unhideWhenUsed/>
    <w:rsid w:val="002F7766"/>
    <w:rPr>
      <w:vertAlign w:val="superscript"/>
    </w:rPr>
  </w:style>
  <w:style w:type="table" w:styleId="TableGrid">
    <w:name w:val="Table Grid"/>
    <w:basedOn w:val="TableNormal"/>
    <w:uiPriority w:val="39"/>
    <w:rsid w:val="001A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619A"/>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5C1F15"/>
    <w:rPr>
      <w:sz w:val="20"/>
      <w:szCs w:val="20"/>
    </w:rPr>
  </w:style>
  <w:style w:type="character" w:customStyle="1" w:styleId="EndnoteTextChar">
    <w:name w:val="Endnote Text Char"/>
    <w:basedOn w:val="DefaultParagraphFont"/>
    <w:link w:val="EndnoteText"/>
    <w:uiPriority w:val="99"/>
    <w:semiHidden/>
    <w:rsid w:val="005C1F15"/>
    <w:rPr>
      <w:sz w:val="20"/>
      <w:szCs w:val="20"/>
    </w:rPr>
  </w:style>
  <w:style w:type="character" w:styleId="EndnoteReference">
    <w:name w:val="endnote reference"/>
    <w:basedOn w:val="DefaultParagraphFont"/>
    <w:uiPriority w:val="99"/>
    <w:semiHidden/>
    <w:unhideWhenUsed/>
    <w:rsid w:val="005C1F15"/>
    <w:rPr>
      <w:vertAlign w:val="superscript"/>
    </w:rPr>
  </w:style>
  <w:style w:type="numbering" w:customStyle="1" w:styleId="CurrentList1">
    <w:name w:val="Current List1"/>
    <w:uiPriority w:val="99"/>
    <w:rsid w:val="00CB6B33"/>
    <w:pPr>
      <w:numPr>
        <w:numId w:val="16"/>
      </w:numPr>
    </w:pPr>
  </w:style>
  <w:style w:type="numbering" w:customStyle="1" w:styleId="CurrentList2">
    <w:name w:val="Current List2"/>
    <w:uiPriority w:val="99"/>
    <w:rsid w:val="00CB6B33"/>
    <w:pPr>
      <w:numPr>
        <w:numId w:val="17"/>
      </w:numPr>
    </w:pPr>
  </w:style>
  <w:style w:type="numbering" w:customStyle="1" w:styleId="CurrentList3">
    <w:name w:val="Current List3"/>
    <w:uiPriority w:val="99"/>
    <w:rsid w:val="00CB6B33"/>
    <w:pPr>
      <w:numPr>
        <w:numId w:val="18"/>
      </w:numPr>
    </w:pPr>
  </w:style>
  <w:style w:type="paragraph" w:styleId="Footer">
    <w:name w:val="footer"/>
    <w:basedOn w:val="Normal"/>
    <w:link w:val="FooterChar"/>
    <w:uiPriority w:val="99"/>
    <w:unhideWhenUsed/>
    <w:rsid w:val="00A110C6"/>
    <w:pPr>
      <w:tabs>
        <w:tab w:val="center" w:pos="4680"/>
        <w:tab w:val="right" w:pos="9360"/>
      </w:tabs>
    </w:pPr>
  </w:style>
  <w:style w:type="character" w:customStyle="1" w:styleId="FooterChar">
    <w:name w:val="Footer Char"/>
    <w:basedOn w:val="DefaultParagraphFont"/>
    <w:link w:val="Footer"/>
    <w:uiPriority w:val="99"/>
    <w:rsid w:val="00A110C6"/>
  </w:style>
  <w:style w:type="character" w:styleId="PageNumber">
    <w:name w:val="page number"/>
    <w:basedOn w:val="DefaultParagraphFont"/>
    <w:uiPriority w:val="99"/>
    <w:semiHidden/>
    <w:unhideWhenUsed/>
    <w:rsid w:val="00A110C6"/>
  </w:style>
  <w:style w:type="paragraph" w:styleId="Header">
    <w:name w:val="header"/>
    <w:basedOn w:val="Normal"/>
    <w:link w:val="HeaderChar"/>
    <w:uiPriority w:val="99"/>
    <w:unhideWhenUsed/>
    <w:rsid w:val="00A110C6"/>
    <w:pPr>
      <w:tabs>
        <w:tab w:val="center" w:pos="4680"/>
        <w:tab w:val="right" w:pos="9360"/>
      </w:tabs>
    </w:pPr>
  </w:style>
  <w:style w:type="character" w:customStyle="1" w:styleId="HeaderChar">
    <w:name w:val="Header Char"/>
    <w:basedOn w:val="DefaultParagraphFont"/>
    <w:link w:val="Header"/>
    <w:uiPriority w:val="99"/>
    <w:rsid w:val="00A110C6"/>
  </w:style>
  <w:style w:type="paragraph" w:styleId="NormalWeb">
    <w:name w:val="Normal (Web)"/>
    <w:basedOn w:val="Normal"/>
    <w:uiPriority w:val="99"/>
    <w:semiHidden/>
    <w:unhideWhenUsed/>
    <w:rsid w:val="00E041EC"/>
    <w:rPr>
      <w:rFonts w:ascii="Times New Roman" w:hAnsi="Times New Roman" w:cs="Times New Roman"/>
    </w:rPr>
  </w:style>
  <w:style w:type="character" w:styleId="Hyperlink">
    <w:name w:val="Hyperlink"/>
    <w:basedOn w:val="DefaultParagraphFont"/>
    <w:uiPriority w:val="99"/>
    <w:unhideWhenUsed/>
    <w:rsid w:val="0043136B"/>
    <w:rPr>
      <w:color w:val="0563C1" w:themeColor="hyperlink"/>
      <w:u w:val="single"/>
    </w:rPr>
  </w:style>
  <w:style w:type="character" w:styleId="UnresolvedMention">
    <w:name w:val="Unresolved Mention"/>
    <w:basedOn w:val="DefaultParagraphFont"/>
    <w:uiPriority w:val="99"/>
    <w:semiHidden/>
    <w:unhideWhenUsed/>
    <w:rsid w:val="0043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2245">
      <w:bodyDiv w:val="1"/>
      <w:marLeft w:val="0"/>
      <w:marRight w:val="0"/>
      <w:marTop w:val="0"/>
      <w:marBottom w:val="0"/>
      <w:divBdr>
        <w:top w:val="none" w:sz="0" w:space="0" w:color="auto"/>
        <w:left w:val="none" w:sz="0" w:space="0" w:color="auto"/>
        <w:bottom w:val="none" w:sz="0" w:space="0" w:color="auto"/>
        <w:right w:val="none" w:sz="0" w:space="0" w:color="auto"/>
      </w:divBdr>
    </w:div>
    <w:div w:id="729887581">
      <w:bodyDiv w:val="1"/>
      <w:marLeft w:val="0"/>
      <w:marRight w:val="0"/>
      <w:marTop w:val="0"/>
      <w:marBottom w:val="0"/>
      <w:divBdr>
        <w:top w:val="none" w:sz="0" w:space="0" w:color="auto"/>
        <w:left w:val="none" w:sz="0" w:space="0" w:color="auto"/>
        <w:bottom w:val="none" w:sz="0" w:space="0" w:color="auto"/>
        <w:right w:val="none" w:sz="0" w:space="0" w:color="auto"/>
      </w:divBdr>
      <w:divsChild>
        <w:div w:id="1383477966">
          <w:marLeft w:val="0"/>
          <w:marRight w:val="0"/>
          <w:marTop w:val="0"/>
          <w:marBottom w:val="0"/>
          <w:divBdr>
            <w:top w:val="none" w:sz="0" w:space="0" w:color="auto"/>
            <w:left w:val="none" w:sz="0" w:space="0" w:color="auto"/>
            <w:bottom w:val="none" w:sz="0" w:space="0" w:color="auto"/>
            <w:right w:val="none" w:sz="0" w:space="0" w:color="auto"/>
          </w:divBdr>
          <w:divsChild>
            <w:div w:id="1355497101">
              <w:marLeft w:val="0"/>
              <w:marRight w:val="0"/>
              <w:marTop w:val="0"/>
              <w:marBottom w:val="0"/>
              <w:divBdr>
                <w:top w:val="none" w:sz="0" w:space="0" w:color="auto"/>
                <w:left w:val="none" w:sz="0" w:space="0" w:color="auto"/>
                <w:bottom w:val="none" w:sz="0" w:space="0" w:color="auto"/>
                <w:right w:val="none" w:sz="0" w:space="0" w:color="auto"/>
              </w:divBdr>
              <w:divsChild>
                <w:div w:id="614795173">
                  <w:marLeft w:val="0"/>
                  <w:marRight w:val="0"/>
                  <w:marTop w:val="0"/>
                  <w:marBottom w:val="0"/>
                  <w:divBdr>
                    <w:top w:val="none" w:sz="0" w:space="0" w:color="auto"/>
                    <w:left w:val="none" w:sz="0" w:space="0" w:color="auto"/>
                    <w:bottom w:val="none" w:sz="0" w:space="0" w:color="auto"/>
                    <w:right w:val="none" w:sz="0" w:space="0" w:color="auto"/>
                  </w:divBdr>
                  <w:divsChild>
                    <w:div w:id="2103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0424">
      <w:bodyDiv w:val="1"/>
      <w:marLeft w:val="0"/>
      <w:marRight w:val="0"/>
      <w:marTop w:val="0"/>
      <w:marBottom w:val="0"/>
      <w:divBdr>
        <w:top w:val="none" w:sz="0" w:space="0" w:color="auto"/>
        <w:left w:val="none" w:sz="0" w:space="0" w:color="auto"/>
        <w:bottom w:val="none" w:sz="0" w:space="0" w:color="auto"/>
        <w:right w:val="none" w:sz="0" w:space="0" w:color="auto"/>
      </w:divBdr>
    </w:div>
    <w:div w:id="1486125954">
      <w:bodyDiv w:val="1"/>
      <w:marLeft w:val="0"/>
      <w:marRight w:val="0"/>
      <w:marTop w:val="0"/>
      <w:marBottom w:val="0"/>
      <w:divBdr>
        <w:top w:val="none" w:sz="0" w:space="0" w:color="auto"/>
        <w:left w:val="none" w:sz="0" w:space="0" w:color="auto"/>
        <w:bottom w:val="none" w:sz="0" w:space="0" w:color="auto"/>
        <w:right w:val="none" w:sz="0" w:space="0" w:color="auto"/>
      </w:divBdr>
      <w:divsChild>
        <w:div w:id="311761220">
          <w:marLeft w:val="0"/>
          <w:marRight w:val="0"/>
          <w:marTop w:val="0"/>
          <w:marBottom w:val="0"/>
          <w:divBdr>
            <w:top w:val="none" w:sz="0" w:space="0" w:color="auto"/>
            <w:left w:val="none" w:sz="0" w:space="0" w:color="auto"/>
            <w:bottom w:val="none" w:sz="0" w:space="0" w:color="auto"/>
            <w:right w:val="none" w:sz="0" w:space="0" w:color="auto"/>
          </w:divBdr>
          <w:divsChild>
            <w:div w:id="17120811">
              <w:marLeft w:val="0"/>
              <w:marRight w:val="0"/>
              <w:marTop w:val="0"/>
              <w:marBottom w:val="0"/>
              <w:divBdr>
                <w:top w:val="none" w:sz="0" w:space="0" w:color="auto"/>
                <w:left w:val="none" w:sz="0" w:space="0" w:color="auto"/>
                <w:bottom w:val="none" w:sz="0" w:space="0" w:color="auto"/>
                <w:right w:val="none" w:sz="0" w:space="0" w:color="auto"/>
              </w:divBdr>
              <w:divsChild>
                <w:div w:id="841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8232">
      <w:bodyDiv w:val="1"/>
      <w:marLeft w:val="0"/>
      <w:marRight w:val="0"/>
      <w:marTop w:val="0"/>
      <w:marBottom w:val="0"/>
      <w:divBdr>
        <w:top w:val="none" w:sz="0" w:space="0" w:color="auto"/>
        <w:left w:val="none" w:sz="0" w:space="0" w:color="auto"/>
        <w:bottom w:val="none" w:sz="0" w:space="0" w:color="auto"/>
        <w:right w:val="none" w:sz="0" w:space="0" w:color="auto"/>
      </w:divBdr>
      <w:divsChild>
        <w:div w:id="1207260985">
          <w:marLeft w:val="0"/>
          <w:marRight w:val="0"/>
          <w:marTop w:val="0"/>
          <w:marBottom w:val="0"/>
          <w:divBdr>
            <w:top w:val="none" w:sz="0" w:space="0" w:color="auto"/>
            <w:left w:val="none" w:sz="0" w:space="0" w:color="auto"/>
            <w:bottom w:val="none" w:sz="0" w:space="0" w:color="auto"/>
            <w:right w:val="none" w:sz="0" w:space="0" w:color="auto"/>
          </w:divBdr>
          <w:divsChild>
            <w:div w:id="2106656213">
              <w:marLeft w:val="0"/>
              <w:marRight w:val="0"/>
              <w:marTop w:val="0"/>
              <w:marBottom w:val="0"/>
              <w:divBdr>
                <w:top w:val="none" w:sz="0" w:space="0" w:color="auto"/>
                <w:left w:val="none" w:sz="0" w:space="0" w:color="auto"/>
                <w:bottom w:val="none" w:sz="0" w:space="0" w:color="auto"/>
                <w:right w:val="none" w:sz="0" w:space="0" w:color="auto"/>
              </w:divBdr>
              <w:divsChild>
                <w:div w:id="14866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bdbmc.org/why-martin-county/workforce-edu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31A4-A70F-E44E-880F-175FBF00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HUDSON</dc:creator>
  <cp:keywords/>
  <dc:description/>
  <cp:lastModifiedBy>William Corbin</cp:lastModifiedBy>
  <cp:revision>26</cp:revision>
  <cp:lastPrinted>2024-01-29T14:39:00Z</cp:lastPrinted>
  <dcterms:created xsi:type="dcterms:W3CDTF">2024-09-26T14:20:00Z</dcterms:created>
  <dcterms:modified xsi:type="dcterms:W3CDTF">2024-10-31T17:12:00Z</dcterms:modified>
</cp:coreProperties>
</file>